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A75A53">
      <w:pPr>
        <w:pStyle w:val="3"/>
        <w:spacing w:line="600" w:lineRule="exact"/>
        <w:jc w:val="center"/>
        <w:rPr>
          <w:rFonts w:hint="default" w:ascii="Calibri" w:hAnsi="Calibri" w:eastAsia="宋体" w:cs="Times New Roman"/>
          <w:bCs w:val="0"/>
          <w:color w:val="auto"/>
          <w:sz w:val="32"/>
          <w:szCs w:val="22"/>
          <w:highlight w:val="none"/>
        </w:rPr>
      </w:pPr>
      <w:r>
        <w:rPr>
          <w:rFonts w:hint="eastAsia"/>
          <w:lang w:val="en-US" w:eastAsia="zh-CN"/>
        </w:rPr>
        <w:t>江门市中心医院江海分院（江门市江海区人民医院）</w:t>
      </w:r>
      <w:r>
        <w:rPr>
          <w:rFonts w:hint="default" w:ascii="Calibri" w:hAnsi="Calibri" w:eastAsia="宋体" w:cs="Times New Roman"/>
          <w:bCs w:val="0"/>
          <w:color w:val="auto"/>
          <w:sz w:val="32"/>
          <w:szCs w:val="22"/>
          <w:highlight w:val="none"/>
        </w:rPr>
        <w:t>202</w:t>
      </w:r>
      <w:r>
        <w:rPr>
          <w:rFonts w:hint="default" w:ascii="Calibri" w:hAnsi="Calibri" w:eastAsia="宋体" w:cs="Times New Roman"/>
          <w:bCs w:val="0"/>
          <w:color w:val="auto"/>
          <w:sz w:val="32"/>
          <w:szCs w:val="22"/>
          <w:highlight w:val="none"/>
          <w:lang w:val="en-US" w:eastAsia="zh-CN"/>
        </w:rPr>
        <w:t>5</w:t>
      </w:r>
      <w:r>
        <w:rPr>
          <w:rFonts w:hint="default" w:ascii="Calibri" w:hAnsi="Calibri" w:eastAsia="宋体" w:cs="Times New Roman"/>
          <w:bCs w:val="0"/>
          <w:color w:val="auto"/>
          <w:sz w:val="32"/>
          <w:szCs w:val="22"/>
          <w:highlight w:val="none"/>
        </w:rPr>
        <w:t>年度医疗责任险项目需求</w:t>
      </w:r>
    </w:p>
    <w:p w14:paraId="59CB420E">
      <w:pPr>
        <w:numPr>
          <w:ilvl w:val="0"/>
          <w:numId w:val="1"/>
        </w:numPr>
        <w:spacing w:line="520" w:lineRule="exact"/>
        <w:ind w:firstLine="562" w:firstLineChars="200"/>
        <w:rPr>
          <w:rFonts w:hint="eastAsia" w:ascii="仿宋_GB2312" w:hAnsi="仿宋_GB2312" w:eastAsia="仿宋_GB2312" w:cs="仿宋_GB2312"/>
          <w:color w:val="auto"/>
          <w:sz w:val="28"/>
          <w:szCs w:val="28"/>
          <w:highlight w:val="none"/>
        </w:rPr>
      </w:pPr>
      <w:r>
        <w:rPr>
          <w:rFonts w:hint="eastAsia" w:ascii="仿宋" w:hAnsi="仿宋" w:eastAsia="仿宋" w:cs="仿宋"/>
          <w:b/>
          <w:bCs/>
          <w:color w:val="auto"/>
          <w:sz w:val="28"/>
          <w:szCs w:val="28"/>
          <w:highlight w:val="none"/>
        </w:rPr>
        <w:t>项目名称</w:t>
      </w:r>
      <w:r>
        <w:rPr>
          <w:rFonts w:hint="eastAsia" w:ascii="仿宋" w:hAnsi="仿宋" w:eastAsia="仿宋" w:cs="仿宋"/>
          <w:color w:val="auto"/>
          <w:sz w:val="28"/>
          <w:szCs w:val="28"/>
          <w:highlight w:val="none"/>
        </w:rPr>
        <w:t>：</w:t>
      </w:r>
      <w:r>
        <w:rPr>
          <w:rFonts w:hint="eastAsia" w:ascii="仿宋_GB2312" w:hAnsi="仿宋_GB2312" w:eastAsia="仿宋_GB2312" w:cs="仿宋_GB2312"/>
          <w:color w:val="auto"/>
          <w:sz w:val="28"/>
          <w:szCs w:val="28"/>
          <w:highlight w:val="none"/>
          <w:lang w:val="en-US" w:eastAsia="zh-CN"/>
        </w:rPr>
        <w:t>江门市中心医院江海分院（江门市江海区人民医院）</w:t>
      </w:r>
      <w:r>
        <w:rPr>
          <w:rFonts w:hint="eastAsia" w:ascii="仿宋_GB2312" w:hAnsi="仿宋_GB2312" w:eastAsia="仿宋_GB2312" w:cs="仿宋_GB2312"/>
          <w:color w:val="auto"/>
          <w:sz w:val="28"/>
          <w:szCs w:val="28"/>
          <w:highlight w:val="none"/>
        </w:rPr>
        <w:t>202</w:t>
      </w:r>
      <w:r>
        <w:rPr>
          <w:rFonts w:hint="eastAsia" w:ascii="仿宋_GB2312" w:hAnsi="仿宋_GB2312" w:eastAsia="仿宋_GB2312" w:cs="仿宋_GB2312"/>
          <w:color w:val="auto"/>
          <w:sz w:val="28"/>
          <w:szCs w:val="28"/>
          <w:highlight w:val="none"/>
          <w:lang w:val="en-US" w:eastAsia="zh-CN"/>
        </w:rPr>
        <w:t>5</w:t>
      </w:r>
      <w:r>
        <w:rPr>
          <w:rFonts w:hint="eastAsia" w:ascii="仿宋_GB2312" w:hAnsi="仿宋_GB2312" w:eastAsia="仿宋_GB2312" w:cs="仿宋_GB2312"/>
          <w:color w:val="auto"/>
          <w:sz w:val="28"/>
          <w:szCs w:val="28"/>
          <w:highlight w:val="none"/>
        </w:rPr>
        <w:t>年度医疗责任险项目。</w:t>
      </w:r>
    </w:p>
    <w:p w14:paraId="1DEE6F84">
      <w:pPr>
        <w:numPr>
          <w:ilvl w:val="0"/>
          <w:numId w:val="1"/>
        </w:numPr>
        <w:spacing w:line="520" w:lineRule="exact"/>
        <w:ind w:firstLine="562" w:firstLineChars="200"/>
        <w:rPr>
          <w:rFonts w:hint="eastAsia" w:ascii="仿宋" w:hAnsi="仿宋" w:eastAsia="仿宋" w:cs="仿宋"/>
          <w:color w:val="auto"/>
          <w:sz w:val="28"/>
          <w:szCs w:val="28"/>
          <w:highlight w:val="none"/>
        </w:rPr>
      </w:pPr>
      <w:r>
        <w:rPr>
          <w:rFonts w:hint="eastAsia" w:ascii="仿宋" w:hAnsi="仿宋" w:eastAsia="仿宋" w:cs="仿宋"/>
          <w:b/>
          <w:bCs/>
          <w:color w:val="auto"/>
          <w:sz w:val="28"/>
          <w:szCs w:val="28"/>
          <w:highlight w:val="none"/>
        </w:rPr>
        <w:t>项目基本概况：</w:t>
      </w:r>
    </w:p>
    <w:tbl>
      <w:tblPr>
        <w:tblStyle w:val="8"/>
        <w:tblpPr w:leftFromText="180" w:rightFromText="180" w:vertAnchor="text" w:horzAnchor="page" w:tblpXSpec="center" w:tblpY="832"/>
        <w:tblOverlap w:val="never"/>
        <w:tblW w:w="96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71"/>
        <w:gridCol w:w="1493"/>
        <w:gridCol w:w="2207"/>
        <w:gridCol w:w="3266"/>
      </w:tblGrid>
      <w:tr w14:paraId="7C2B1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jc w:val="center"/>
        </w:trPr>
        <w:tc>
          <w:tcPr>
            <w:tcW w:w="2671" w:type="dxa"/>
            <w:tcBorders>
              <w:top w:val="single" w:color="auto" w:sz="4" w:space="0"/>
              <w:left w:val="single" w:color="auto" w:sz="4" w:space="0"/>
              <w:bottom w:val="single" w:color="auto" w:sz="4" w:space="0"/>
              <w:right w:val="single" w:color="auto" w:sz="4" w:space="0"/>
            </w:tcBorders>
            <w:noWrap w:val="0"/>
            <w:vAlign w:val="center"/>
          </w:tcPr>
          <w:p w14:paraId="7F9E3B95">
            <w:pPr>
              <w:spacing w:line="520" w:lineRule="exact"/>
              <w:jc w:val="center"/>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服务内容</w:t>
            </w:r>
          </w:p>
        </w:tc>
        <w:tc>
          <w:tcPr>
            <w:tcW w:w="1493" w:type="dxa"/>
            <w:tcBorders>
              <w:top w:val="single" w:color="auto" w:sz="4" w:space="0"/>
              <w:left w:val="nil"/>
              <w:bottom w:val="single" w:color="auto" w:sz="4" w:space="0"/>
              <w:right w:val="single" w:color="auto" w:sz="4" w:space="0"/>
            </w:tcBorders>
            <w:noWrap w:val="0"/>
            <w:vAlign w:val="center"/>
          </w:tcPr>
          <w:p w14:paraId="44502046">
            <w:pPr>
              <w:spacing w:line="520" w:lineRule="exact"/>
              <w:jc w:val="center"/>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服务期限</w:t>
            </w:r>
          </w:p>
        </w:tc>
        <w:tc>
          <w:tcPr>
            <w:tcW w:w="2207" w:type="dxa"/>
            <w:tcBorders>
              <w:top w:val="single" w:color="auto" w:sz="4" w:space="0"/>
              <w:left w:val="nil"/>
              <w:bottom w:val="single" w:color="auto" w:sz="4" w:space="0"/>
              <w:right w:val="single" w:color="auto" w:sz="4" w:space="0"/>
            </w:tcBorders>
            <w:noWrap w:val="0"/>
            <w:vAlign w:val="center"/>
          </w:tcPr>
          <w:p w14:paraId="4384A093">
            <w:pPr>
              <w:spacing w:line="520" w:lineRule="exact"/>
              <w:jc w:val="center"/>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采购项目预算金额</w:t>
            </w:r>
          </w:p>
          <w:p w14:paraId="14CF69A3">
            <w:pPr>
              <w:spacing w:line="520" w:lineRule="exact"/>
              <w:jc w:val="center"/>
              <w:rPr>
                <w:rFonts w:hint="eastAsia" w:ascii="仿宋" w:hAnsi="仿宋" w:eastAsia="仿宋" w:cs="仿宋"/>
                <w:b/>
                <w:bCs w:val="0"/>
                <w:color w:val="auto"/>
                <w:sz w:val="28"/>
                <w:szCs w:val="28"/>
                <w:highlight w:val="none"/>
              </w:rPr>
            </w:pPr>
            <w:r>
              <w:rPr>
                <w:rFonts w:hint="eastAsia" w:ascii="仿宋" w:hAnsi="仿宋" w:eastAsia="仿宋" w:cs="仿宋"/>
                <w:b/>
                <w:bCs w:val="0"/>
                <w:color w:val="auto"/>
                <w:sz w:val="28"/>
                <w:szCs w:val="28"/>
                <w:highlight w:val="none"/>
              </w:rPr>
              <w:t>（最高限价）</w:t>
            </w:r>
          </w:p>
        </w:tc>
        <w:tc>
          <w:tcPr>
            <w:tcW w:w="3266" w:type="dxa"/>
            <w:tcBorders>
              <w:top w:val="single" w:color="auto" w:sz="4" w:space="0"/>
              <w:left w:val="nil"/>
              <w:bottom w:val="single" w:color="auto" w:sz="4" w:space="0"/>
              <w:right w:val="single" w:color="auto" w:sz="4" w:space="0"/>
            </w:tcBorders>
            <w:noWrap w:val="0"/>
            <w:vAlign w:val="center"/>
          </w:tcPr>
          <w:p w14:paraId="4072DD3A">
            <w:pPr>
              <w:spacing w:line="520" w:lineRule="exact"/>
              <w:jc w:val="center"/>
              <w:rPr>
                <w:rFonts w:hint="default" w:ascii="仿宋" w:hAnsi="仿宋" w:eastAsia="仿宋" w:cs="仿宋"/>
                <w:b/>
                <w:bCs w:val="0"/>
                <w:color w:val="auto"/>
                <w:sz w:val="28"/>
                <w:szCs w:val="28"/>
                <w:highlight w:val="none"/>
                <w:lang w:val="en-US" w:eastAsia="zh-CN"/>
              </w:rPr>
            </w:pPr>
            <w:r>
              <w:rPr>
                <w:rFonts w:hint="eastAsia" w:ascii="仿宋" w:hAnsi="仿宋" w:eastAsia="仿宋" w:cs="仿宋"/>
                <w:b/>
                <w:bCs w:val="0"/>
                <w:color w:val="auto"/>
                <w:sz w:val="28"/>
                <w:szCs w:val="28"/>
                <w:highlight w:val="none"/>
                <w:lang w:val="en-US" w:eastAsia="zh-CN"/>
              </w:rPr>
              <w:t>项目编号</w:t>
            </w:r>
          </w:p>
        </w:tc>
      </w:tr>
      <w:tr w14:paraId="45E63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1" w:hRule="atLeast"/>
          <w:jc w:val="center"/>
        </w:trPr>
        <w:tc>
          <w:tcPr>
            <w:tcW w:w="2671" w:type="dxa"/>
            <w:tcBorders>
              <w:top w:val="single" w:color="auto" w:sz="4" w:space="0"/>
              <w:left w:val="single" w:color="auto" w:sz="4" w:space="0"/>
              <w:bottom w:val="single" w:color="auto" w:sz="4" w:space="0"/>
              <w:right w:val="single" w:color="auto" w:sz="4" w:space="0"/>
            </w:tcBorders>
            <w:noWrap w:val="0"/>
            <w:vAlign w:val="center"/>
          </w:tcPr>
          <w:p w14:paraId="016F25AC">
            <w:pPr>
              <w:spacing w:line="5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医疗责任险服务</w:t>
            </w:r>
          </w:p>
        </w:tc>
        <w:tc>
          <w:tcPr>
            <w:tcW w:w="1493" w:type="dxa"/>
            <w:tcBorders>
              <w:top w:val="single" w:color="auto" w:sz="4" w:space="0"/>
              <w:left w:val="nil"/>
              <w:bottom w:val="single" w:color="auto" w:sz="4" w:space="0"/>
              <w:right w:val="single" w:color="auto" w:sz="4" w:space="0"/>
            </w:tcBorders>
            <w:noWrap w:val="0"/>
            <w:vAlign w:val="center"/>
          </w:tcPr>
          <w:p w14:paraId="45867853">
            <w:pPr>
              <w:pStyle w:val="10"/>
              <w:spacing w:before="0" w:after="0" w:line="520" w:lineRule="exact"/>
              <w:jc w:val="center"/>
              <w:rPr>
                <w:rFonts w:hint="eastAsia" w:ascii="仿宋" w:hAnsi="仿宋" w:eastAsia="仿宋" w:cs="仿宋"/>
                <w:snapToGrid/>
                <w:color w:val="auto"/>
                <w:spacing w:val="0"/>
                <w:kern w:val="2"/>
                <w:sz w:val="28"/>
                <w:szCs w:val="28"/>
                <w:highlight w:val="none"/>
              </w:rPr>
            </w:pPr>
            <w:r>
              <w:rPr>
                <w:rFonts w:hint="eastAsia" w:ascii="仿宋" w:hAnsi="仿宋" w:eastAsia="仿宋" w:cs="仿宋"/>
                <w:snapToGrid/>
                <w:color w:val="auto"/>
                <w:spacing w:val="0"/>
                <w:kern w:val="2"/>
                <w:sz w:val="28"/>
                <w:szCs w:val="28"/>
                <w:highlight w:val="none"/>
                <w:lang w:eastAsia="zh-CN"/>
              </w:rPr>
              <w:t>一年</w:t>
            </w:r>
          </w:p>
        </w:tc>
        <w:tc>
          <w:tcPr>
            <w:tcW w:w="2207" w:type="dxa"/>
            <w:tcBorders>
              <w:top w:val="single" w:color="auto" w:sz="4" w:space="0"/>
              <w:left w:val="nil"/>
              <w:bottom w:val="single" w:color="auto" w:sz="4" w:space="0"/>
              <w:right w:val="single" w:color="auto" w:sz="4" w:space="0"/>
            </w:tcBorders>
            <w:noWrap w:val="0"/>
            <w:vAlign w:val="center"/>
          </w:tcPr>
          <w:p w14:paraId="31E294B3">
            <w:pPr>
              <w:spacing w:line="520" w:lineRule="exact"/>
              <w:jc w:val="center"/>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人民币</w:t>
            </w:r>
            <w:r>
              <w:rPr>
                <w:rFonts w:hint="eastAsia" w:ascii="仿宋" w:hAnsi="仿宋" w:eastAsia="仿宋" w:cs="仿宋"/>
                <w:color w:val="auto"/>
                <w:sz w:val="28"/>
                <w:szCs w:val="28"/>
                <w:highlight w:val="none"/>
                <w:lang w:val="en-US" w:eastAsia="zh-CN"/>
              </w:rPr>
              <w:t>25</w:t>
            </w:r>
            <w:r>
              <w:rPr>
                <w:rFonts w:hint="eastAsia" w:ascii="仿宋" w:hAnsi="仿宋" w:eastAsia="仿宋" w:cs="仿宋"/>
                <w:color w:val="auto"/>
                <w:sz w:val="28"/>
                <w:szCs w:val="28"/>
                <w:highlight w:val="none"/>
              </w:rPr>
              <w:t>万元</w:t>
            </w:r>
          </w:p>
        </w:tc>
        <w:tc>
          <w:tcPr>
            <w:tcW w:w="3266" w:type="dxa"/>
            <w:tcBorders>
              <w:top w:val="single" w:color="auto" w:sz="4" w:space="0"/>
              <w:left w:val="nil"/>
              <w:bottom w:val="single" w:color="auto" w:sz="4" w:space="0"/>
              <w:right w:val="single" w:color="auto" w:sz="4" w:space="0"/>
            </w:tcBorders>
            <w:noWrap w:val="0"/>
            <w:vAlign w:val="center"/>
          </w:tcPr>
          <w:p w14:paraId="2D37720E">
            <w:pPr>
              <w:spacing w:line="520" w:lineRule="exact"/>
              <w:jc w:val="center"/>
              <w:rPr>
                <w:rFonts w:hint="default" w:ascii="仿宋" w:hAnsi="仿宋" w:eastAsia="仿宋" w:cs="仿宋"/>
                <w:snapToGrid/>
                <w:color w:val="auto"/>
                <w:spacing w:val="0"/>
                <w:kern w:val="2"/>
                <w:sz w:val="28"/>
                <w:szCs w:val="28"/>
                <w:highlight w:val="none"/>
                <w:lang w:val="en-US" w:eastAsia="zh-CN"/>
              </w:rPr>
            </w:pPr>
            <w:r>
              <w:rPr>
                <w:rFonts w:hint="eastAsia" w:ascii="仿宋" w:hAnsi="仿宋" w:eastAsia="仿宋" w:cs="仿宋"/>
                <w:snapToGrid/>
                <w:color w:val="auto"/>
                <w:spacing w:val="0"/>
                <w:kern w:val="2"/>
                <w:sz w:val="28"/>
                <w:szCs w:val="28"/>
                <w:highlight w:val="none"/>
                <w:lang w:val="en-US" w:eastAsia="zh-CN"/>
              </w:rPr>
              <w:t>JHRY2025-005</w:t>
            </w:r>
          </w:p>
        </w:tc>
      </w:tr>
    </w:tbl>
    <w:p w14:paraId="52AE5949">
      <w:pPr>
        <w:numPr>
          <w:ilvl w:val="0"/>
          <w:numId w:val="0"/>
        </w:numPr>
        <w:spacing w:line="52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1.</w:t>
      </w:r>
      <w:r>
        <w:rPr>
          <w:rFonts w:hint="eastAsia" w:ascii="仿宋" w:hAnsi="仿宋" w:eastAsia="仿宋" w:cs="仿宋"/>
          <w:color w:val="auto"/>
          <w:sz w:val="28"/>
          <w:szCs w:val="28"/>
          <w:highlight w:val="none"/>
        </w:rPr>
        <w:t>被保险人：</w:t>
      </w:r>
      <w:r>
        <w:rPr>
          <w:rFonts w:hint="eastAsia" w:ascii="仿宋_GB2312" w:hAnsi="仿宋_GB2312" w:eastAsia="仿宋_GB2312" w:cs="仿宋_GB2312"/>
          <w:color w:val="auto"/>
          <w:sz w:val="28"/>
          <w:szCs w:val="28"/>
          <w:highlight w:val="none"/>
          <w:lang w:val="en-US" w:eastAsia="zh-CN"/>
        </w:rPr>
        <w:t>江门市中心医院江海分院（江门市江海区人民医院）</w:t>
      </w:r>
    </w:p>
    <w:p w14:paraId="4EF779B4">
      <w:pPr>
        <w:numPr>
          <w:ilvl w:val="0"/>
          <w:numId w:val="0"/>
        </w:numPr>
        <w:spacing w:line="520" w:lineRule="exact"/>
        <w:rPr>
          <w:rFonts w:hint="eastAsia" w:ascii="仿宋" w:hAnsi="仿宋" w:eastAsia="仿宋" w:cs="仿宋"/>
          <w:color w:val="auto"/>
          <w:sz w:val="28"/>
          <w:szCs w:val="28"/>
          <w:highlight w:val="none"/>
        </w:rPr>
      </w:pPr>
    </w:p>
    <w:p w14:paraId="44F767F5">
      <w:pPr>
        <w:widowControl w:val="0"/>
        <w:numPr>
          <w:ilvl w:val="0"/>
          <w:numId w:val="0"/>
        </w:numPr>
        <w:spacing w:line="520" w:lineRule="exact"/>
        <w:ind w:firstLine="562" w:firstLineChars="200"/>
        <w:jc w:val="left"/>
        <w:rPr>
          <w:rFonts w:hint="eastAsia" w:ascii="仿宋_GB2312" w:hAnsi="仿宋_GB2312" w:eastAsia="仿宋_GB2312" w:cs="仿宋_GB2312"/>
          <w:color w:val="auto"/>
          <w:sz w:val="28"/>
          <w:szCs w:val="28"/>
          <w:highlight w:val="none"/>
          <w:lang w:eastAsia="zh-CN"/>
        </w:rPr>
      </w:pPr>
      <w:r>
        <w:rPr>
          <w:rFonts w:hint="eastAsia" w:ascii="仿宋" w:hAnsi="仿宋" w:eastAsia="仿宋" w:cs="仿宋"/>
          <w:b/>
          <w:bCs/>
          <w:color w:val="auto"/>
          <w:sz w:val="28"/>
          <w:szCs w:val="28"/>
          <w:highlight w:val="none"/>
          <w:lang w:eastAsia="zh-CN"/>
        </w:rPr>
        <w:t>报价要求：</w:t>
      </w:r>
      <w:r>
        <w:rPr>
          <w:rFonts w:hint="eastAsia" w:ascii="仿宋" w:hAnsi="仿宋" w:eastAsia="仿宋" w:cs="仿宋"/>
          <w:color w:val="auto"/>
          <w:sz w:val="28"/>
          <w:szCs w:val="28"/>
          <w:highlight w:val="none"/>
        </w:rPr>
        <w:t>本采购包投标报价为总价，包含完成本采购包的所有费用。投标人须</w:t>
      </w:r>
      <w:r>
        <w:rPr>
          <w:rFonts w:hint="eastAsia" w:ascii="仿宋_GB2312" w:hAnsi="仿宋_GB2312" w:eastAsia="仿宋_GB2312" w:cs="仿宋_GB2312"/>
          <w:color w:val="auto"/>
          <w:sz w:val="28"/>
          <w:szCs w:val="28"/>
          <w:highlight w:val="none"/>
        </w:rPr>
        <w:t>自行考虑在本采购包实施期间的一切可能产生的费用。投标报价若超出对应保费最高限价的，其报价将被视为无效。</w:t>
      </w:r>
      <w:r>
        <w:rPr>
          <w:rFonts w:hint="eastAsia" w:ascii="仿宋_GB2312" w:hAnsi="仿宋_GB2312" w:eastAsia="仿宋_GB2312" w:cs="仿宋_GB2312"/>
          <w:color w:val="auto"/>
          <w:sz w:val="28"/>
          <w:szCs w:val="28"/>
          <w:highlight w:val="none"/>
          <w:lang w:val="en-US" w:eastAsia="zh-CN"/>
        </w:rPr>
        <w:t>最终该项目以实际中标价格为准。</w:t>
      </w:r>
    </w:p>
    <w:p w14:paraId="1150A4D5">
      <w:pPr>
        <w:spacing w:line="520" w:lineRule="exact"/>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地址：</w:t>
      </w:r>
      <w:r>
        <w:rPr>
          <w:rFonts w:hint="eastAsia" w:ascii="仿宋_GB2312" w:hAnsi="仿宋_GB2312" w:eastAsia="仿宋_GB2312" w:cs="仿宋_GB2312"/>
          <w:i w:val="0"/>
          <w:iCs w:val="0"/>
          <w:caps w:val="0"/>
          <w:color w:val="auto"/>
          <w:spacing w:val="0"/>
          <w:sz w:val="28"/>
          <w:szCs w:val="28"/>
          <w:highlight w:val="none"/>
          <w:shd w:val="clear" w:color="auto" w:fill="auto"/>
        </w:rPr>
        <w:t>江门市</w:t>
      </w:r>
      <w:r>
        <w:rPr>
          <w:rFonts w:hint="eastAsia" w:ascii="仿宋_GB2312" w:hAnsi="仿宋_GB2312" w:eastAsia="仿宋_GB2312" w:cs="仿宋_GB2312"/>
          <w:i w:val="0"/>
          <w:iCs w:val="0"/>
          <w:caps w:val="0"/>
          <w:color w:val="auto"/>
          <w:spacing w:val="0"/>
          <w:sz w:val="28"/>
          <w:szCs w:val="28"/>
          <w:highlight w:val="none"/>
          <w:shd w:val="clear" w:color="auto" w:fill="auto"/>
          <w:lang w:val="en-US" w:eastAsia="zh-CN"/>
        </w:rPr>
        <w:t>江海区</w:t>
      </w:r>
      <w:r>
        <w:rPr>
          <w:rFonts w:hint="eastAsia" w:ascii="仿宋_GB2312" w:hAnsi="仿宋_GB2312" w:eastAsia="仿宋_GB2312" w:cs="仿宋_GB2312"/>
          <w:i w:val="0"/>
          <w:iCs w:val="0"/>
          <w:caps w:val="0"/>
          <w:color w:val="auto"/>
          <w:spacing w:val="0"/>
          <w:sz w:val="28"/>
          <w:szCs w:val="28"/>
          <w:highlight w:val="none"/>
          <w:shd w:val="clear" w:color="auto" w:fill="auto"/>
        </w:rPr>
        <w:t>江海四路66号</w:t>
      </w:r>
    </w:p>
    <w:p w14:paraId="76DF3BEE">
      <w:pPr>
        <w:spacing w:line="52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2.被保险人（下属、关联机构）及地址：</w:t>
      </w:r>
    </w:p>
    <w:p w14:paraId="6700A876">
      <w:pPr>
        <w:numPr>
          <w:ilvl w:val="0"/>
          <w:numId w:val="0"/>
        </w:numPr>
        <w:spacing w:line="520" w:lineRule="exact"/>
        <w:ind w:firstLine="560" w:firstLineChars="200"/>
        <w:jc w:val="left"/>
        <w:rPr>
          <w:rFonts w:hint="eastAsia" w:ascii="仿宋_GB2312" w:hAnsi="仿宋_GB2312" w:eastAsia="仿宋_GB2312" w:cs="仿宋_GB2312"/>
          <w:color w:val="auto"/>
          <w:sz w:val="28"/>
          <w:szCs w:val="28"/>
          <w:highlight w:val="none"/>
          <w:lang w:val="en-US" w:eastAsia="zh-CN"/>
        </w:rPr>
      </w:pPr>
      <w:r>
        <w:rPr>
          <w:rFonts w:hint="eastAsia" w:ascii="仿宋" w:hAnsi="仿宋" w:eastAsia="仿宋" w:cs="仿宋"/>
          <w:color w:val="auto"/>
          <w:sz w:val="28"/>
          <w:szCs w:val="28"/>
          <w:highlight w:val="none"/>
        </w:rPr>
        <w:t>（1）被保</w:t>
      </w:r>
      <w:r>
        <w:rPr>
          <w:rFonts w:hint="eastAsia" w:ascii="仿宋_GB2312" w:hAnsi="仿宋_GB2312" w:eastAsia="仿宋_GB2312" w:cs="仿宋_GB2312"/>
          <w:color w:val="auto"/>
          <w:sz w:val="28"/>
          <w:szCs w:val="28"/>
          <w:highlight w:val="none"/>
        </w:rPr>
        <w:t>险人：</w:t>
      </w:r>
      <w:r>
        <w:rPr>
          <w:rFonts w:hint="eastAsia" w:ascii="仿宋_GB2312" w:hAnsi="仿宋_GB2312" w:eastAsia="仿宋_GB2312" w:cs="仿宋_GB2312"/>
          <w:color w:val="auto"/>
          <w:sz w:val="28"/>
          <w:szCs w:val="28"/>
          <w:highlight w:val="none"/>
          <w:lang w:val="en-US" w:eastAsia="zh-CN"/>
        </w:rPr>
        <w:t>江门市中心医院江海分院（江门市江海区人民医院）</w:t>
      </w:r>
    </w:p>
    <w:p w14:paraId="6CD33AF4">
      <w:pPr>
        <w:numPr>
          <w:ilvl w:val="0"/>
          <w:numId w:val="0"/>
        </w:numPr>
        <w:spacing w:line="520" w:lineRule="exact"/>
        <w:ind w:firstLine="560" w:firstLineChars="200"/>
        <w:jc w:val="lef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地址：</w:t>
      </w:r>
      <w:r>
        <w:rPr>
          <w:rFonts w:hint="eastAsia" w:ascii="仿宋_GB2312" w:hAnsi="仿宋_GB2312" w:eastAsia="仿宋_GB2312" w:cs="仿宋_GB2312"/>
          <w:i w:val="0"/>
          <w:iCs w:val="0"/>
          <w:caps w:val="0"/>
          <w:color w:val="auto"/>
          <w:spacing w:val="0"/>
          <w:sz w:val="28"/>
          <w:szCs w:val="28"/>
          <w:highlight w:val="none"/>
          <w:shd w:val="clear" w:color="auto" w:fill="auto"/>
        </w:rPr>
        <w:t>江门市</w:t>
      </w:r>
      <w:r>
        <w:rPr>
          <w:rFonts w:hint="eastAsia" w:ascii="仿宋_GB2312" w:hAnsi="仿宋_GB2312" w:eastAsia="仿宋_GB2312" w:cs="仿宋_GB2312"/>
          <w:i w:val="0"/>
          <w:iCs w:val="0"/>
          <w:caps w:val="0"/>
          <w:color w:val="auto"/>
          <w:spacing w:val="0"/>
          <w:sz w:val="28"/>
          <w:szCs w:val="28"/>
          <w:highlight w:val="none"/>
          <w:shd w:val="clear" w:color="auto" w:fill="auto"/>
          <w:lang w:val="en-US" w:eastAsia="zh-CN"/>
        </w:rPr>
        <w:t>江海区</w:t>
      </w:r>
      <w:r>
        <w:rPr>
          <w:rFonts w:hint="eastAsia" w:ascii="仿宋_GB2312" w:hAnsi="仿宋_GB2312" w:eastAsia="仿宋_GB2312" w:cs="仿宋_GB2312"/>
          <w:i w:val="0"/>
          <w:iCs w:val="0"/>
          <w:caps w:val="0"/>
          <w:color w:val="auto"/>
          <w:spacing w:val="0"/>
          <w:sz w:val="28"/>
          <w:szCs w:val="28"/>
          <w:highlight w:val="none"/>
          <w:shd w:val="clear" w:color="auto" w:fill="auto"/>
        </w:rPr>
        <w:t>江海四路66号</w:t>
      </w:r>
    </w:p>
    <w:p w14:paraId="15C8668C">
      <w:pPr>
        <w:spacing w:line="52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（2）被保险人信息：</w:t>
      </w:r>
    </w:p>
    <w:p w14:paraId="6A546A99">
      <w:pPr>
        <w:spacing w:line="52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医院类别：综合医院</w:t>
      </w:r>
    </w:p>
    <w:p w14:paraId="6792BDD3">
      <w:pPr>
        <w:spacing w:line="52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医疗机构等级：</w:t>
      </w:r>
      <w:r>
        <w:rPr>
          <w:rFonts w:hint="eastAsia" w:ascii="仿宋" w:hAnsi="仿宋" w:eastAsia="仿宋" w:cs="仿宋"/>
          <w:color w:val="auto"/>
          <w:sz w:val="28"/>
          <w:szCs w:val="28"/>
          <w:highlight w:val="none"/>
          <w:lang w:val="en-US" w:eastAsia="zh-CN"/>
        </w:rPr>
        <w:t>二</w:t>
      </w:r>
      <w:r>
        <w:rPr>
          <w:rFonts w:hint="eastAsia" w:ascii="仿宋" w:hAnsi="仿宋" w:eastAsia="仿宋" w:cs="仿宋"/>
          <w:color w:val="auto"/>
          <w:sz w:val="28"/>
          <w:szCs w:val="28"/>
          <w:highlight w:val="none"/>
        </w:rPr>
        <w:t>级</w:t>
      </w:r>
    </w:p>
    <w:p w14:paraId="4BADB9B4">
      <w:pPr>
        <w:spacing w:line="52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注册床位数：</w:t>
      </w:r>
      <w:r>
        <w:rPr>
          <w:rFonts w:hint="eastAsia" w:ascii="仿宋" w:hAnsi="仿宋" w:eastAsia="仿宋" w:cs="仿宋"/>
          <w:color w:val="auto"/>
          <w:sz w:val="28"/>
          <w:szCs w:val="28"/>
          <w:highlight w:val="none"/>
          <w:lang w:val="en-US" w:eastAsia="zh-CN"/>
        </w:rPr>
        <w:t>235</w:t>
      </w:r>
      <w:r>
        <w:rPr>
          <w:rFonts w:hint="eastAsia" w:ascii="仿宋" w:hAnsi="仿宋" w:eastAsia="仿宋" w:cs="仿宋"/>
          <w:color w:val="auto"/>
          <w:sz w:val="28"/>
          <w:szCs w:val="28"/>
          <w:highlight w:val="none"/>
        </w:rPr>
        <w:t>张</w:t>
      </w:r>
    </w:p>
    <w:p w14:paraId="2F9F40C3">
      <w:pPr>
        <w:spacing w:line="52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医务人员数：</w:t>
      </w:r>
      <w:r>
        <w:rPr>
          <w:rFonts w:hint="eastAsia" w:ascii="仿宋" w:hAnsi="仿宋" w:eastAsia="仿宋" w:cs="仿宋"/>
          <w:color w:val="auto"/>
          <w:sz w:val="28"/>
          <w:szCs w:val="28"/>
          <w:highlight w:val="none"/>
          <w:lang w:val="en-US" w:eastAsia="zh-CN"/>
        </w:rPr>
        <w:t>300</w:t>
      </w:r>
      <w:r>
        <w:rPr>
          <w:rFonts w:hint="eastAsia" w:ascii="仿宋" w:hAnsi="仿宋" w:eastAsia="仿宋" w:cs="仿宋"/>
          <w:color w:val="auto"/>
          <w:sz w:val="28"/>
          <w:szCs w:val="28"/>
          <w:highlight w:val="none"/>
          <w:lang w:eastAsia="zh-CN"/>
        </w:rPr>
        <w:t>位</w:t>
      </w:r>
    </w:p>
    <w:p w14:paraId="7E4F3278">
      <w:pPr>
        <w:pStyle w:val="11"/>
        <w:spacing w:line="520" w:lineRule="exact"/>
        <w:rPr>
          <w:rFonts w:hint="eastAsia" w:ascii="仿宋" w:hAnsi="仿宋" w:eastAsia="仿宋" w:cs="仿宋"/>
          <w:b/>
          <w:bCs/>
          <w:color w:val="auto"/>
          <w:sz w:val="28"/>
          <w:szCs w:val="28"/>
          <w:highlight w:val="none"/>
          <w:lang w:eastAsia="zh-CN"/>
        </w:rPr>
      </w:pPr>
      <w:r>
        <w:rPr>
          <w:rFonts w:hint="eastAsia" w:ascii="仿宋" w:hAnsi="仿宋" w:eastAsia="仿宋" w:cs="仿宋"/>
          <w:b/>
          <w:bCs/>
          <w:color w:val="auto"/>
          <w:sz w:val="28"/>
          <w:szCs w:val="28"/>
          <w:highlight w:val="none"/>
          <w:lang w:eastAsia="zh-CN"/>
        </w:rPr>
        <w:t>三、服务要求</w:t>
      </w:r>
    </w:p>
    <w:p w14:paraId="3995E8C2">
      <w:pPr>
        <w:pStyle w:val="11"/>
        <w:spacing w:line="520" w:lineRule="exact"/>
        <w:ind w:firstLine="643"/>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（一）供应商资格：</w:t>
      </w:r>
    </w:p>
    <w:p w14:paraId="09866E3E">
      <w:pPr>
        <w:pStyle w:val="7"/>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120" w:afterAutospacing="0" w:line="312" w:lineRule="atLeast"/>
        <w:ind w:left="0" w:right="0" w:firstLine="420"/>
        <w:rPr>
          <w:rFonts w:hint="eastAsia" w:ascii="仿宋_GB2312" w:hAnsi="仿宋_GB2312" w:eastAsia="仿宋_GB2312" w:cs="仿宋_GB2312"/>
          <w:b w:val="0"/>
          <w:bCs w:val="0"/>
          <w:color w:val="auto"/>
          <w:sz w:val="28"/>
          <w:szCs w:val="28"/>
          <w:highlight w:val="none"/>
        </w:rPr>
      </w:pPr>
      <w:r>
        <w:rPr>
          <w:rFonts w:hint="eastAsia" w:ascii="仿宋" w:hAnsi="仿宋" w:eastAsia="仿宋" w:cs="仿宋"/>
          <w:color w:val="auto"/>
          <w:sz w:val="28"/>
          <w:szCs w:val="28"/>
        </w:rPr>
        <w:t>1、满足《中华人民共和国政府采购法》第二十二条规定，提供下列材料：</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（1）具有独立承担民事责任的能力：在中华人民共和国境内注册的法人或其他组织或自然人，具有独立承担民事责任的能力，提供有效的《营业执照》副本复印件或其他组织证明材料。</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（2）供应商须具有良好的商业信誉和健全的财务会计制度，提供经会计师事务所审计的最近一年度财务报告（如为分公司投标且没有单独进行财务报告审计，可提供上级公司或总公司的财务报告）；</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rPr>
        <w:t>2、提供投标截止日前6个月内任意1个月依法缴纳税收和社会保障资金的相关材料（如依法免税或不需要缴纳社会保障资金的，提供相应证明材料）</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lang w:val="en-US" w:eastAsia="zh-CN"/>
        </w:rPr>
        <w:t>3</w:t>
      </w:r>
      <w:r>
        <w:rPr>
          <w:rFonts w:hint="eastAsia" w:ascii="仿宋" w:hAnsi="仿宋" w:eastAsia="仿宋" w:cs="仿宋"/>
          <w:color w:val="auto"/>
          <w:sz w:val="28"/>
          <w:szCs w:val="28"/>
        </w:rPr>
        <w:t>、供应商参加本次政府采购活动前3年内（自提交投标文件截止时间之日起往前推3年）在经营活动中没有重大违法记录，提供《守法经营声明书》（见附件），并提供通过“信用中国”网站（www.creditchina.gov.cn）网站查询本单位信用记录的结果页面打印件。</w:t>
      </w:r>
      <w:r>
        <w:rPr>
          <w:rFonts w:hint="eastAsia" w:ascii="仿宋" w:hAnsi="仿宋" w:eastAsia="仿宋" w:cs="仿宋"/>
          <w:color w:val="auto"/>
          <w:sz w:val="28"/>
          <w:szCs w:val="28"/>
        </w:rPr>
        <w:br w:type="textWrapping"/>
      </w:r>
      <w:r>
        <w:rPr>
          <w:rFonts w:hint="eastAsia" w:ascii="仿宋" w:hAnsi="仿宋" w:eastAsia="仿宋" w:cs="仿宋"/>
          <w:color w:val="auto"/>
          <w:sz w:val="28"/>
          <w:szCs w:val="28"/>
          <w:lang w:val="en-US" w:eastAsia="zh-CN"/>
        </w:rPr>
        <w:t>4</w:t>
      </w:r>
      <w:r>
        <w:rPr>
          <w:rFonts w:hint="eastAsia" w:ascii="仿宋" w:hAnsi="仿宋" w:eastAsia="仿宋" w:cs="仿宋"/>
          <w:color w:val="auto"/>
          <w:sz w:val="28"/>
          <w:szCs w:val="28"/>
        </w:rPr>
        <w:t>、供应商必须是经中国银行保险监督管理委员会批准成立的，取得《中华人民共和国保险许可证》或《中华人民共和国保险中介许可证》，在中国境内从事本项目保险业务或保险经纪业务，并在广东省设有分支机构。分支机构投标的，必须获得具有独立法人资格的总公司授权；同一保险公司只能授权一家分支机构参加本项目（多于一家授权投标的将同时作无效投标处理）；总公司与分支机构同时参与投标的将同时作无效投标处理。提供《经营保险业务许可证》等法定资格证件，复印件加盖公章。分支机构参与的，提供总公司授权书。</w:t>
      </w:r>
    </w:p>
    <w:p w14:paraId="385B4ECE">
      <w:pPr>
        <w:spacing w:line="400" w:lineRule="exact"/>
        <w:ind w:left="102" w:right="-20"/>
        <w:jc w:val="left"/>
        <w:rPr>
          <w:rFonts w:hint="eastAsia" w:ascii="仿宋" w:hAnsi="仿宋" w:eastAsia="仿宋" w:cs="仿宋"/>
          <w:b/>
          <w:color w:val="auto"/>
          <w:spacing w:val="2"/>
          <w:szCs w:val="21"/>
          <w:highlight w:val="none"/>
        </w:rPr>
      </w:pPr>
      <w:r>
        <w:rPr>
          <w:rFonts w:hint="eastAsia" w:ascii="仿宋" w:hAnsi="仿宋" w:eastAsia="仿宋" w:cs="仿宋"/>
          <w:b/>
          <w:bCs/>
          <w:color w:val="auto"/>
          <w:sz w:val="28"/>
          <w:szCs w:val="28"/>
          <w:highlight w:val="none"/>
          <w:lang w:val="en-US" w:eastAsia="zh-CN"/>
        </w:rPr>
        <w:t>（二）服务需求：</w:t>
      </w:r>
    </w:p>
    <w:tbl>
      <w:tblPr>
        <w:tblStyle w:val="8"/>
        <w:tblW w:w="5273" w:type="pct"/>
        <w:tblInd w:w="-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687"/>
        <w:gridCol w:w="8602"/>
      </w:tblGrid>
      <w:tr w14:paraId="34C839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trPr>
        <w:tc>
          <w:tcPr>
            <w:tcW w:w="5000" w:type="pct"/>
            <w:gridSpan w:val="2"/>
            <w:noWrap w:val="0"/>
            <w:vAlign w:val="center"/>
          </w:tcPr>
          <w:p w14:paraId="04A3C0CC">
            <w:pPr>
              <w:spacing w:line="400" w:lineRule="exact"/>
              <w:ind w:left="102" w:right="-20"/>
              <w:jc w:val="left"/>
              <w:rPr>
                <w:rFonts w:hint="eastAsia" w:ascii="仿宋" w:hAnsi="仿宋" w:eastAsia="仿宋" w:cs="仿宋"/>
                <w:b/>
                <w:color w:val="auto"/>
                <w:szCs w:val="21"/>
                <w:highlight w:val="none"/>
              </w:rPr>
            </w:pPr>
            <w:r>
              <w:rPr>
                <w:rFonts w:hint="eastAsia" w:ascii="仿宋" w:hAnsi="仿宋" w:eastAsia="仿宋" w:cs="仿宋"/>
                <w:b/>
                <w:color w:val="auto"/>
                <w:spacing w:val="2"/>
                <w:szCs w:val="21"/>
                <w:highlight w:val="none"/>
              </w:rPr>
              <w:t>1</w:t>
            </w:r>
            <w:r>
              <w:rPr>
                <w:rFonts w:hint="eastAsia" w:ascii="仿宋" w:hAnsi="仿宋" w:eastAsia="仿宋" w:cs="仿宋"/>
                <w:b/>
                <w:color w:val="auto"/>
                <w:szCs w:val="21"/>
                <w:highlight w:val="none"/>
              </w:rPr>
              <w:t>、</w:t>
            </w:r>
            <w:r>
              <w:rPr>
                <w:rFonts w:hint="eastAsia" w:ascii="仿宋" w:hAnsi="仿宋" w:eastAsia="仿宋" w:cs="仿宋"/>
                <w:b/>
                <w:color w:val="auto"/>
                <w:spacing w:val="1"/>
                <w:szCs w:val="21"/>
                <w:highlight w:val="none"/>
              </w:rPr>
              <w:t>投保人</w:t>
            </w:r>
          </w:p>
        </w:tc>
      </w:tr>
      <w:tr w14:paraId="6E7FB2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exact"/>
        </w:trPr>
        <w:tc>
          <w:tcPr>
            <w:tcW w:w="820" w:type="pct"/>
            <w:noWrap w:val="0"/>
            <w:vAlign w:val="center"/>
          </w:tcPr>
          <w:p w14:paraId="7275122E">
            <w:pPr>
              <w:spacing w:line="400" w:lineRule="exact"/>
              <w:ind w:left="102" w:right="-2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投保人名称：</w:t>
            </w:r>
          </w:p>
        </w:tc>
        <w:tc>
          <w:tcPr>
            <w:tcW w:w="4179" w:type="pct"/>
            <w:noWrap w:val="0"/>
            <w:vAlign w:val="center"/>
          </w:tcPr>
          <w:p w14:paraId="0D0A66C6">
            <w:pPr>
              <w:spacing w:line="400" w:lineRule="exact"/>
              <w:ind w:left="102" w:right="-20"/>
              <w:jc w:val="left"/>
              <w:rPr>
                <w:rFonts w:hint="eastAsia" w:ascii="仿宋" w:hAnsi="仿宋" w:eastAsia="仿宋" w:cs="仿宋"/>
                <w:color w:val="auto"/>
                <w:szCs w:val="21"/>
                <w:highlight w:val="none"/>
                <w:lang w:val="en-US"/>
              </w:rPr>
            </w:pPr>
            <w:r>
              <w:rPr>
                <w:rFonts w:hint="eastAsia" w:ascii="仿宋" w:hAnsi="仿宋" w:eastAsia="仿宋" w:cs="仿宋"/>
                <w:color w:val="auto"/>
                <w:szCs w:val="21"/>
                <w:highlight w:val="none"/>
                <w:lang w:val="en-US" w:eastAsia="zh-CN"/>
              </w:rPr>
              <w:t>江门市中心医院江海分院（江门市江海区人民医院）</w:t>
            </w:r>
          </w:p>
        </w:tc>
      </w:tr>
      <w:tr w14:paraId="62018B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exact"/>
        </w:trPr>
        <w:tc>
          <w:tcPr>
            <w:tcW w:w="820" w:type="pct"/>
            <w:noWrap w:val="0"/>
            <w:vAlign w:val="center"/>
          </w:tcPr>
          <w:p w14:paraId="3BE3365A">
            <w:pPr>
              <w:spacing w:line="400" w:lineRule="exact"/>
              <w:ind w:left="102" w:right="-20"/>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投保人地址：</w:t>
            </w:r>
          </w:p>
        </w:tc>
        <w:tc>
          <w:tcPr>
            <w:tcW w:w="4179" w:type="pct"/>
            <w:noWrap w:val="0"/>
            <w:vAlign w:val="center"/>
          </w:tcPr>
          <w:p w14:paraId="5300D535">
            <w:pPr>
              <w:spacing w:line="400" w:lineRule="exact"/>
              <w:ind w:left="102" w:right="-20" w:firstLine="0" w:firstLineChars="0"/>
              <w:jc w:val="left"/>
              <w:rPr>
                <w:rFonts w:hint="eastAsia" w:ascii="仿宋" w:hAnsi="仿宋" w:eastAsia="仿宋" w:cs="仿宋"/>
                <w:color w:val="auto"/>
                <w:sz w:val="21"/>
                <w:szCs w:val="21"/>
                <w:highlight w:val="none"/>
              </w:rPr>
            </w:pPr>
            <w:r>
              <w:rPr>
                <w:rFonts w:hint="eastAsia" w:ascii="仿宋" w:hAnsi="仿宋" w:eastAsia="仿宋" w:cs="仿宋"/>
                <w:i w:val="0"/>
                <w:iCs w:val="0"/>
                <w:caps w:val="0"/>
                <w:color w:val="auto"/>
                <w:spacing w:val="0"/>
                <w:sz w:val="21"/>
                <w:szCs w:val="21"/>
                <w:highlight w:val="none"/>
                <w:shd w:val="clear"/>
              </w:rPr>
              <w:t>江门市</w:t>
            </w:r>
            <w:r>
              <w:rPr>
                <w:rFonts w:hint="eastAsia" w:ascii="仿宋" w:hAnsi="仿宋" w:eastAsia="仿宋" w:cs="仿宋"/>
                <w:i w:val="0"/>
                <w:iCs w:val="0"/>
                <w:caps w:val="0"/>
                <w:color w:val="auto"/>
                <w:spacing w:val="0"/>
                <w:sz w:val="21"/>
                <w:szCs w:val="21"/>
                <w:highlight w:val="none"/>
                <w:shd w:val="clear"/>
                <w:lang w:val="en-US" w:eastAsia="zh-CN"/>
              </w:rPr>
              <w:t>江海区</w:t>
            </w:r>
            <w:r>
              <w:rPr>
                <w:rFonts w:hint="eastAsia" w:ascii="仿宋" w:hAnsi="仿宋" w:eastAsia="仿宋" w:cs="仿宋"/>
                <w:i w:val="0"/>
                <w:iCs w:val="0"/>
                <w:caps w:val="0"/>
                <w:color w:val="auto"/>
                <w:spacing w:val="0"/>
                <w:sz w:val="21"/>
                <w:szCs w:val="21"/>
                <w:highlight w:val="none"/>
                <w:shd w:val="clear"/>
              </w:rPr>
              <w:t>江海四路66号</w:t>
            </w:r>
          </w:p>
          <w:p w14:paraId="243C2892">
            <w:pPr>
              <w:spacing w:line="400" w:lineRule="exact"/>
              <w:ind w:left="102" w:right="-20"/>
              <w:jc w:val="left"/>
              <w:rPr>
                <w:rFonts w:hint="eastAsia" w:ascii="仿宋" w:hAnsi="仿宋" w:eastAsia="仿宋" w:cs="仿宋"/>
                <w:color w:val="auto"/>
                <w:szCs w:val="21"/>
                <w:highlight w:val="none"/>
              </w:rPr>
            </w:pPr>
          </w:p>
        </w:tc>
      </w:tr>
      <w:tr w14:paraId="01BB7A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trPr>
        <w:tc>
          <w:tcPr>
            <w:tcW w:w="5000" w:type="pct"/>
            <w:gridSpan w:val="2"/>
            <w:noWrap w:val="0"/>
            <w:vAlign w:val="center"/>
          </w:tcPr>
          <w:p w14:paraId="72F4975C">
            <w:pPr>
              <w:spacing w:line="400" w:lineRule="exact"/>
              <w:ind w:left="102" w:right="-20"/>
              <w:jc w:val="left"/>
              <w:rPr>
                <w:rFonts w:hint="eastAsia" w:ascii="仿宋" w:hAnsi="仿宋" w:eastAsia="仿宋" w:cs="仿宋"/>
                <w:b/>
                <w:color w:val="auto"/>
                <w:szCs w:val="21"/>
                <w:highlight w:val="none"/>
              </w:rPr>
            </w:pPr>
            <w:r>
              <w:rPr>
                <w:rFonts w:hint="eastAsia" w:ascii="仿宋" w:hAnsi="仿宋" w:eastAsia="仿宋" w:cs="仿宋"/>
                <w:b/>
                <w:color w:val="auto"/>
                <w:spacing w:val="2"/>
                <w:szCs w:val="21"/>
                <w:highlight w:val="none"/>
              </w:rPr>
              <w:t>2</w:t>
            </w:r>
            <w:r>
              <w:rPr>
                <w:rFonts w:hint="eastAsia" w:ascii="仿宋" w:hAnsi="仿宋" w:eastAsia="仿宋" w:cs="仿宋"/>
                <w:b/>
                <w:color w:val="auto"/>
                <w:szCs w:val="21"/>
                <w:highlight w:val="none"/>
              </w:rPr>
              <w:t>、</w:t>
            </w:r>
            <w:r>
              <w:rPr>
                <w:rFonts w:hint="eastAsia" w:ascii="仿宋" w:hAnsi="仿宋" w:eastAsia="仿宋" w:cs="仿宋"/>
                <w:b/>
                <w:color w:val="auto"/>
                <w:spacing w:val="1"/>
                <w:szCs w:val="21"/>
                <w:highlight w:val="none"/>
              </w:rPr>
              <w:t>被保险人</w:t>
            </w:r>
          </w:p>
        </w:tc>
      </w:tr>
      <w:tr w14:paraId="7AAF01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0" w:hRule="atLeast"/>
        </w:trPr>
        <w:tc>
          <w:tcPr>
            <w:tcW w:w="820" w:type="pct"/>
            <w:noWrap w:val="0"/>
            <w:vAlign w:val="center"/>
          </w:tcPr>
          <w:p w14:paraId="2EE28A6C">
            <w:pPr>
              <w:spacing w:line="400" w:lineRule="exact"/>
              <w:ind w:right="-66"/>
              <w:jc w:val="both"/>
              <w:rPr>
                <w:rFonts w:hint="eastAsia" w:ascii="仿宋" w:hAnsi="仿宋" w:eastAsia="仿宋" w:cs="仿宋"/>
                <w:color w:val="auto"/>
                <w:szCs w:val="21"/>
                <w:highlight w:val="none"/>
              </w:rPr>
            </w:pPr>
            <w:r>
              <w:rPr>
                <w:rFonts w:hint="eastAsia" w:ascii="仿宋" w:hAnsi="仿宋" w:eastAsia="仿宋" w:cs="仿宋"/>
                <w:color w:val="auto"/>
                <w:szCs w:val="21"/>
                <w:highlight w:val="none"/>
              </w:rPr>
              <w:t>被保险人名称</w:t>
            </w:r>
          </w:p>
          <w:p w14:paraId="27E559FC">
            <w:pPr>
              <w:spacing w:line="400" w:lineRule="exact"/>
              <w:ind w:left="102" w:right="-66"/>
              <w:jc w:val="both"/>
              <w:rPr>
                <w:rFonts w:hint="eastAsia" w:ascii="仿宋" w:hAnsi="仿宋" w:eastAsia="仿宋" w:cs="仿宋"/>
                <w:color w:val="auto"/>
                <w:szCs w:val="21"/>
                <w:highlight w:val="none"/>
              </w:rPr>
            </w:pPr>
            <w:r>
              <w:rPr>
                <w:rFonts w:hint="eastAsia" w:ascii="仿宋" w:hAnsi="仿宋" w:eastAsia="仿宋" w:cs="仿宋"/>
                <w:color w:val="auto"/>
                <w:szCs w:val="21"/>
                <w:highlight w:val="none"/>
              </w:rPr>
              <w:t>及地址：</w:t>
            </w:r>
          </w:p>
        </w:tc>
        <w:tc>
          <w:tcPr>
            <w:tcW w:w="4179" w:type="pct"/>
            <w:noWrap w:val="0"/>
            <w:vAlign w:val="center"/>
          </w:tcPr>
          <w:p w14:paraId="19E8FD08">
            <w:pPr>
              <w:widowControl/>
              <w:numPr>
                <w:ilvl w:val="-1"/>
                <w:numId w:val="0"/>
              </w:numPr>
              <w:spacing w:line="400" w:lineRule="exact"/>
              <w:ind w:right="167" w:firstLine="0" w:firstLineChars="0"/>
              <w:jc w:val="left"/>
              <w:outlineLvl w:val="9"/>
              <w:rPr>
                <w:rFonts w:hint="eastAsia" w:ascii="仿宋" w:hAnsi="仿宋" w:eastAsia="仿宋" w:cs="仿宋"/>
                <w:color w:val="auto"/>
                <w:szCs w:val="21"/>
                <w:highlight w:val="none"/>
              </w:rPr>
            </w:pPr>
            <w:r>
              <w:rPr>
                <w:rFonts w:hint="eastAsia" w:ascii="仿宋" w:hAnsi="仿宋" w:eastAsia="仿宋" w:cs="仿宋"/>
                <w:color w:val="auto"/>
                <w:kern w:val="2"/>
                <w:szCs w:val="21"/>
                <w:highlight w:val="none"/>
                <w:lang w:val="en-US" w:eastAsia="zh-CN"/>
              </w:rPr>
              <w:t>被保险人：</w:t>
            </w:r>
            <w:r>
              <w:rPr>
                <w:rFonts w:hint="eastAsia" w:ascii="仿宋" w:hAnsi="仿宋" w:eastAsia="仿宋" w:cs="仿宋"/>
                <w:color w:val="auto"/>
                <w:szCs w:val="21"/>
                <w:highlight w:val="none"/>
                <w:lang w:val="en-US" w:eastAsia="zh-CN"/>
              </w:rPr>
              <w:t>江门市中心医院江海分院（江门市江海区人民医院）</w:t>
            </w:r>
            <w:r>
              <w:rPr>
                <w:rFonts w:hint="eastAsia" w:ascii="仿宋" w:hAnsi="仿宋" w:eastAsia="仿宋" w:cs="仿宋"/>
                <w:color w:val="auto"/>
                <w:kern w:val="2"/>
                <w:szCs w:val="21"/>
                <w:highlight w:val="none"/>
                <w:lang w:val="en-US" w:eastAsia="zh-CN"/>
              </w:rPr>
              <w:t xml:space="preserve">                               </w:t>
            </w:r>
            <w:r>
              <w:rPr>
                <w:rFonts w:hint="eastAsia" w:ascii="仿宋" w:hAnsi="仿宋" w:eastAsia="仿宋" w:cs="仿宋"/>
                <w:color w:val="auto"/>
                <w:kern w:val="2"/>
                <w:szCs w:val="21"/>
                <w:highlight w:val="none"/>
                <w:lang w:val="en-US" w:eastAsia="zh-CN"/>
              </w:rPr>
              <w:br w:type="textWrapping"/>
            </w:r>
            <w:r>
              <w:rPr>
                <w:rFonts w:hint="eastAsia" w:ascii="仿宋" w:hAnsi="仿宋" w:eastAsia="仿宋" w:cs="仿宋"/>
                <w:color w:val="auto"/>
                <w:kern w:val="2"/>
                <w:szCs w:val="21"/>
                <w:highlight w:val="none"/>
                <w:lang w:val="en-US" w:eastAsia="zh-CN"/>
              </w:rPr>
              <w:t>地 址：</w:t>
            </w:r>
            <w:r>
              <w:rPr>
                <w:rFonts w:hint="eastAsia" w:ascii="仿宋" w:hAnsi="仿宋" w:eastAsia="仿宋" w:cs="仿宋"/>
                <w:i w:val="0"/>
                <w:iCs w:val="0"/>
                <w:caps w:val="0"/>
                <w:color w:val="auto"/>
                <w:spacing w:val="0"/>
                <w:sz w:val="21"/>
                <w:szCs w:val="21"/>
                <w:highlight w:val="none"/>
                <w:shd w:val="clear"/>
              </w:rPr>
              <w:t>江门市</w:t>
            </w:r>
            <w:r>
              <w:rPr>
                <w:rFonts w:hint="eastAsia" w:ascii="仿宋" w:hAnsi="仿宋" w:eastAsia="仿宋" w:cs="仿宋"/>
                <w:i w:val="0"/>
                <w:iCs w:val="0"/>
                <w:caps w:val="0"/>
                <w:color w:val="auto"/>
                <w:spacing w:val="0"/>
                <w:sz w:val="21"/>
                <w:szCs w:val="21"/>
                <w:highlight w:val="none"/>
                <w:shd w:val="clear"/>
                <w:lang w:val="en-US" w:eastAsia="zh-CN"/>
              </w:rPr>
              <w:t>江海区</w:t>
            </w:r>
            <w:r>
              <w:rPr>
                <w:rFonts w:hint="eastAsia" w:ascii="仿宋" w:hAnsi="仿宋" w:eastAsia="仿宋" w:cs="仿宋"/>
                <w:i w:val="0"/>
                <w:iCs w:val="0"/>
                <w:caps w:val="0"/>
                <w:color w:val="auto"/>
                <w:spacing w:val="0"/>
                <w:sz w:val="21"/>
                <w:szCs w:val="21"/>
                <w:highlight w:val="none"/>
                <w:shd w:val="clear"/>
              </w:rPr>
              <w:t>江海四路66号</w:t>
            </w:r>
          </w:p>
        </w:tc>
      </w:tr>
      <w:tr w14:paraId="4F9D3C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988" w:hRule="exact"/>
        </w:trPr>
        <w:tc>
          <w:tcPr>
            <w:tcW w:w="820" w:type="pct"/>
            <w:vMerge w:val="restart"/>
            <w:noWrap w:val="0"/>
            <w:vAlign w:val="center"/>
          </w:tcPr>
          <w:p w14:paraId="54A9D2DE">
            <w:pPr>
              <w:spacing w:line="400" w:lineRule="exact"/>
              <w:ind w:right="167"/>
              <w:jc w:val="left"/>
              <w:rPr>
                <w:rFonts w:hint="eastAsia" w:ascii="仿宋" w:hAnsi="仿宋" w:eastAsia="仿宋" w:cs="仿宋"/>
                <w:color w:val="auto"/>
                <w:szCs w:val="21"/>
                <w:highlight w:val="none"/>
              </w:rPr>
            </w:pPr>
            <w:r>
              <w:rPr>
                <w:rFonts w:hint="eastAsia" w:ascii="仿宋" w:hAnsi="仿宋" w:eastAsia="仿宋" w:cs="仿宋"/>
                <w:b/>
                <w:color w:val="auto"/>
                <w:szCs w:val="21"/>
                <w:highlight w:val="none"/>
              </w:rPr>
              <w:t>3、</w:t>
            </w:r>
            <w:r>
              <w:rPr>
                <w:rFonts w:hint="eastAsia" w:ascii="仿宋" w:hAnsi="仿宋" w:eastAsia="仿宋" w:cs="仿宋"/>
                <w:b/>
                <w:color w:val="auto"/>
                <w:szCs w:val="21"/>
                <w:highlight w:val="none"/>
                <w:lang w:val="en-US" w:eastAsia="zh-CN"/>
              </w:rPr>
              <w:t>保额（</w:t>
            </w:r>
            <w:r>
              <w:rPr>
                <w:rFonts w:hint="eastAsia" w:ascii="仿宋" w:hAnsi="仿宋" w:eastAsia="仿宋" w:cs="仿宋"/>
                <w:b/>
                <w:color w:val="auto"/>
                <w:szCs w:val="21"/>
                <w:highlight w:val="none"/>
              </w:rPr>
              <w:t>赔偿限额</w:t>
            </w:r>
            <w:r>
              <w:rPr>
                <w:rFonts w:hint="eastAsia" w:ascii="仿宋" w:hAnsi="仿宋" w:eastAsia="仿宋" w:cs="仿宋"/>
                <w:b/>
                <w:color w:val="auto"/>
                <w:szCs w:val="21"/>
                <w:highlight w:val="none"/>
                <w:lang w:val="en-US" w:eastAsia="zh-CN"/>
              </w:rPr>
              <w:t>）</w:t>
            </w:r>
          </w:p>
        </w:tc>
        <w:tc>
          <w:tcPr>
            <w:tcW w:w="4179" w:type="pct"/>
            <w:shd w:val="clear" w:color="auto" w:fill="auto"/>
            <w:noWrap w:val="0"/>
            <w:vAlign w:val="center"/>
          </w:tcPr>
          <w:p w14:paraId="49389287">
            <w:pPr>
              <w:spacing w:line="400" w:lineRule="exact"/>
              <w:ind w:left="102" w:right="-20"/>
              <w:jc w:val="lef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医疗责任累计限额220万元，每次事故赔偿限额50万，其中每人每次赔偿限额50万元(其中鉴定费用2万元；法律费用5万元；精神损害费用5万元)；</w:t>
            </w:r>
          </w:p>
          <w:p w14:paraId="34F1AEAF">
            <w:pPr>
              <w:spacing w:line="400" w:lineRule="exact"/>
              <w:ind w:left="102" w:right="-20"/>
              <w:jc w:val="left"/>
              <w:rPr>
                <w:rFonts w:hint="eastAsia" w:ascii="仿宋" w:hAnsi="仿宋" w:eastAsia="仿宋" w:cs="仿宋"/>
                <w:color w:val="auto"/>
                <w:szCs w:val="21"/>
                <w:highlight w:val="none"/>
                <w:lang w:val="en-US" w:eastAsia="zh-CN"/>
              </w:rPr>
            </w:pPr>
          </w:p>
          <w:p w14:paraId="553F59A2">
            <w:pPr>
              <w:spacing w:line="400" w:lineRule="exact"/>
              <w:ind w:left="102" w:right="-20"/>
              <w:jc w:val="left"/>
              <w:rPr>
                <w:rFonts w:hint="eastAsia" w:ascii="仿宋" w:hAnsi="仿宋" w:eastAsia="仿宋" w:cs="仿宋"/>
                <w:color w:val="auto"/>
                <w:szCs w:val="21"/>
                <w:highlight w:val="none"/>
                <w:lang w:val="en-US" w:eastAsia="zh-CN"/>
              </w:rPr>
            </w:pPr>
          </w:p>
        </w:tc>
      </w:tr>
      <w:tr w14:paraId="673BF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187" w:hRule="exact"/>
        </w:trPr>
        <w:tc>
          <w:tcPr>
            <w:tcW w:w="820" w:type="pct"/>
            <w:vMerge w:val="continue"/>
            <w:noWrap w:val="0"/>
            <w:vAlign w:val="center"/>
          </w:tcPr>
          <w:p w14:paraId="2B83EE19">
            <w:pPr>
              <w:spacing w:line="400" w:lineRule="exact"/>
              <w:ind w:right="167"/>
              <w:jc w:val="left"/>
              <w:rPr>
                <w:rFonts w:hint="eastAsia" w:ascii="仿宋" w:hAnsi="仿宋" w:eastAsia="仿宋" w:cs="仿宋"/>
                <w:b/>
                <w:color w:val="auto"/>
                <w:szCs w:val="21"/>
                <w:highlight w:val="none"/>
              </w:rPr>
            </w:pPr>
          </w:p>
        </w:tc>
        <w:tc>
          <w:tcPr>
            <w:tcW w:w="4179" w:type="pct"/>
            <w:shd w:val="clear" w:color="auto" w:fill="auto"/>
            <w:noWrap w:val="0"/>
            <w:vAlign w:val="center"/>
          </w:tcPr>
          <w:p w14:paraId="7212098A">
            <w:pPr>
              <w:spacing w:line="400" w:lineRule="exact"/>
              <w:ind w:left="102" w:right="-20"/>
              <w:jc w:val="lef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医疗纠纷累计赔偿限额50万元，每次事故赔偿限额10万元，其中每人每次赔偿限额10万元(其中鉴定费用2万元；法律费用2万元)。</w:t>
            </w:r>
          </w:p>
          <w:p w14:paraId="5DE8BB20">
            <w:pPr>
              <w:spacing w:line="400" w:lineRule="exact"/>
              <w:ind w:left="102" w:right="-20"/>
              <w:jc w:val="left"/>
              <w:rPr>
                <w:rFonts w:hint="eastAsia" w:ascii="仿宋" w:hAnsi="仿宋" w:eastAsia="仿宋" w:cs="仿宋"/>
                <w:color w:val="auto"/>
                <w:szCs w:val="21"/>
                <w:highlight w:val="none"/>
                <w:lang w:val="en-US" w:eastAsia="zh-CN"/>
              </w:rPr>
            </w:pPr>
          </w:p>
        </w:tc>
      </w:tr>
      <w:tr w14:paraId="25A327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206" w:hRule="exact"/>
        </w:trPr>
        <w:tc>
          <w:tcPr>
            <w:tcW w:w="820" w:type="pct"/>
            <w:vMerge w:val="continue"/>
            <w:noWrap w:val="0"/>
            <w:vAlign w:val="center"/>
          </w:tcPr>
          <w:p w14:paraId="6C936EBD">
            <w:pPr>
              <w:spacing w:line="400" w:lineRule="exact"/>
              <w:ind w:right="167"/>
              <w:jc w:val="left"/>
              <w:rPr>
                <w:rFonts w:hint="eastAsia" w:ascii="仿宋" w:hAnsi="仿宋" w:eastAsia="仿宋" w:cs="仿宋"/>
                <w:b/>
                <w:color w:val="auto"/>
                <w:szCs w:val="21"/>
                <w:highlight w:val="none"/>
              </w:rPr>
            </w:pPr>
          </w:p>
        </w:tc>
        <w:tc>
          <w:tcPr>
            <w:tcW w:w="4179" w:type="pct"/>
            <w:shd w:val="clear" w:color="auto" w:fill="auto"/>
            <w:noWrap w:val="0"/>
            <w:vAlign w:val="center"/>
          </w:tcPr>
          <w:p w14:paraId="2D1E3AD1">
            <w:pPr>
              <w:spacing w:line="400" w:lineRule="exact"/>
              <w:ind w:left="102" w:right="-20"/>
              <w:jc w:val="lef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医务人员意外伤害保险累计赔偿限额50万，每次事故赔偿限额10万，其中每人每次赔偿限额10万元(其中医疗费2万元)。</w:t>
            </w:r>
          </w:p>
          <w:p w14:paraId="758442A4">
            <w:pPr>
              <w:spacing w:line="400" w:lineRule="exact"/>
              <w:ind w:left="102" w:right="-20"/>
              <w:jc w:val="left"/>
              <w:rPr>
                <w:rFonts w:hint="eastAsia" w:ascii="仿宋" w:hAnsi="仿宋" w:eastAsia="仿宋" w:cs="仿宋"/>
                <w:color w:val="auto"/>
                <w:szCs w:val="21"/>
                <w:highlight w:val="none"/>
                <w:lang w:val="en-US" w:eastAsia="zh-CN"/>
              </w:rPr>
            </w:pPr>
          </w:p>
          <w:p w14:paraId="70BB8B6B">
            <w:pPr>
              <w:spacing w:line="400" w:lineRule="exact"/>
              <w:ind w:left="102" w:right="-20"/>
              <w:jc w:val="left"/>
              <w:rPr>
                <w:rFonts w:hint="eastAsia" w:ascii="仿宋" w:hAnsi="仿宋" w:eastAsia="仿宋" w:cs="仿宋"/>
                <w:color w:val="auto"/>
                <w:szCs w:val="21"/>
                <w:highlight w:val="none"/>
                <w:lang w:val="en-US" w:eastAsia="zh-CN"/>
              </w:rPr>
            </w:pPr>
          </w:p>
        </w:tc>
      </w:tr>
      <w:tr w14:paraId="5071D2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65" w:hRule="exact"/>
        </w:trPr>
        <w:tc>
          <w:tcPr>
            <w:tcW w:w="820" w:type="pct"/>
            <w:noWrap w:val="0"/>
            <w:vAlign w:val="center"/>
          </w:tcPr>
          <w:p w14:paraId="0268D3BD">
            <w:pPr>
              <w:spacing w:line="400" w:lineRule="exact"/>
              <w:ind w:left="42" w:leftChars="20"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4、免赔额</w:t>
            </w:r>
          </w:p>
        </w:tc>
        <w:tc>
          <w:tcPr>
            <w:tcW w:w="4179" w:type="pct"/>
            <w:shd w:val="clear" w:color="auto" w:fill="auto"/>
            <w:noWrap w:val="0"/>
            <w:vAlign w:val="center"/>
          </w:tcPr>
          <w:p w14:paraId="64C737A3">
            <w:pPr>
              <w:spacing w:line="400" w:lineRule="exact"/>
              <w:ind w:left="102" w:right="-20"/>
              <w:jc w:val="lef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医疗责任每次事故绝对免赔额人民币2000 元，或核定损失金额的10%，两者以高者为准。</w:t>
            </w:r>
          </w:p>
          <w:p w14:paraId="6E886ABE">
            <w:pPr>
              <w:spacing w:line="400" w:lineRule="exact"/>
              <w:ind w:left="102" w:right="-20"/>
              <w:jc w:val="lef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医疗纠纷每次事故绝对免赔额人民币1000 元，或核定损失金额的10%，两者以高者为准。</w:t>
            </w:r>
          </w:p>
          <w:p w14:paraId="28A57FE0">
            <w:pPr>
              <w:spacing w:line="400" w:lineRule="exact"/>
              <w:ind w:left="102" w:right="-20"/>
              <w:jc w:val="left"/>
              <w:rPr>
                <w:rFonts w:hint="eastAsia" w:ascii="仿宋" w:hAnsi="仿宋" w:eastAsia="仿宋" w:cs="仿宋"/>
                <w:color w:val="auto"/>
                <w:szCs w:val="21"/>
                <w:highlight w:val="none"/>
                <w:lang w:val="en-US" w:eastAsia="zh-CN"/>
              </w:rPr>
            </w:pPr>
            <w:r>
              <w:rPr>
                <w:rFonts w:hint="eastAsia" w:ascii="仿宋" w:hAnsi="仿宋" w:eastAsia="仿宋" w:cs="仿宋"/>
                <w:color w:val="auto"/>
                <w:szCs w:val="21"/>
                <w:highlight w:val="none"/>
                <w:lang w:val="en-US" w:eastAsia="zh-CN"/>
              </w:rPr>
              <w:t>医务人员人身伤害责任每次事故绝对免赔额人民币1000 元，或核定损失金额的10%，两者以高者为准。</w:t>
            </w:r>
          </w:p>
          <w:p w14:paraId="0F82C32E">
            <w:pPr>
              <w:spacing w:line="400" w:lineRule="exact"/>
              <w:ind w:left="102" w:right="-20"/>
              <w:jc w:val="left"/>
              <w:rPr>
                <w:rFonts w:hint="eastAsia" w:ascii="仿宋" w:hAnsi="仿宋" w:eastAsia="仿宋" w:cs="仿宋"/>
                <w:color w:val="auto"/>
                <w:szCs w:val="21"/>
                <w:highlight w:val="none"/>
                <w:lang w:val="en-US" w:eastAsia="zh-CN"/>
              </w:rPr>
            </w:pPr>
          </w:p>
        </w:tc>
      </w:tr>
      <w:tr w14:paraId="2D327E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trPr>
        <w:tc>
          <w:tcPr>
            <w:tcW w:w="820" w:type="pct"/>
            <w:noWrap w:val="0"/>
            <w:vAlign w:val="center"/>
          </w:tcPr>
          <w:p w14:paraId="5F116BDF">
            <w:pPr>
              <w:spacing w:line="400" w:lineRule="exact"/>
              <w:ind w:left="42" w:leftChars="20"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5、承保基础</w:t>
            </w:r>
          </w:p>
        </w:tc>
        <w:tc>
          <w:tcPr>
            <w:tcW w:w="4179" w:type="pct"/>
            <w:shd w:val="clear" w:color="auto" w:fill="auto"/>
            <w:noWrap w:val="0"/>
            <w:vAlign w:val="center"/>
          </w:tcPr>
          <w:p w14:paraId="2DCC43C3">
            <w:pPr>
              <w:widowControl/>
              <w:spacing w:line="400" w:lineRule="exact"/>
              <w:ind w:right="167" w:rightChars="0"/>
              <w:jc w:val="left"/>
              <w:outlineLvl w:val="9"/>
              <w:rPr>
                <w:rFonts w:hint="eastAsia" w:ascii="仿宋" w:hAnsi="仿宋" w:eastAsia="仿宋" w:cs="仿宋"/>
                <w:color w:val="auto"/>
                <w:szCs w:val="21"/>
                <w:highlight w:val="none"/>
              </w:rPr>
            </w:pPr>
            <w:r>
              <w:rPr>
                <w:rFonts w:hint="eastAsia" w:ascii="仿宋" w:hAnsi="仿宋" w:eastAsia="仿宋" w:cs="仿宋"/>
                <w:color w:val="auto"/>
                <w:szCs w:val="21"/>
                <w:highlight w:val="none"/>
              </w:rPr>
              <w:t>期内索赔制</w:t>
            </w:r>
          </w:p>
        </w:tc>
      </w:tr>
      <w:tr w14:paraId="2CB585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exact"/>
        </w:trPr>
        <w:tc>
          <w:tcPr>
            <w:tcW w:w="820" w:type="pct"/>
            <w:noWrap w:val="0"/>
            <w:vAlign w:val="center"/>
          </w:tcPr>
          <w:p w14:paraId="6511288E">
            <w:pPr>
              <w:spacing w:line="400" w:lineRule="exact"/>
              <w:ind w:left="42" w:leftChars="20"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6、适用条款</w:t>
            </w:r>
          </w:p>
        </w:tc>
        <w:tc>
          <w:tcPr>
            <w:tcW w:w="4179" w:type="pct"/>
            <w:shd w:val="clear" w:color="auto" w:fill="auto"/>
            <w:noWrap w:val="0"/>
            <w:vAlign w:val="center"/>
          </w:tcPr>
          <w:p w14:paraId="62DCF687">
            <w:pPr>
              <w:spacing w:line="400" w:lineRule="exact"/>
              <w:ind w:left="42" w:leftChars="20" w:right="145" w:rightChars="69"/>
              <w:rPr>
                <w:rFonts w:hint="eastAsia" w:ascii="仿宋" w:hAnsi="仿宋" w:eastAsia="仿宋" w:cs="仿宋"/>
                <w:color w:val="auto"/>
                <w:szCs w:val="21"/>
                <w:highlight w:val="none"/>
              </w:rPr>
            </w:pPr>
            <w:r>
              <w:rPr>
                <w:rFonts w:hint="eastAsia" w:ascii="仿宋" w:hAnsi="仿宋" w:eastAsia="仿宋" w:cs="仿宋"/>
                <w:color w:val="auto"/>
                <w:szCs w:val="21"/>
                <w:highlight w:val="none"/>
                <w:lang w:eastAsia="zh-CN"/>
              </w:rPr>
              <w:t>广东</w:t>
            </w:r>
            <w:r>
              <w:rPr>
                <w:rFonts w:hint="eastAsia" w:ascii="仿宋" w:hAnsi="仿宋" w:eastAsia="仿宋" w:cs="仿宋"/>
                <w:color w:val="auto"/>
                <w:szCs w:val="21"/>
                <w:highlight w:val="none"/>
              </w:rPr>
              <w:t>医疗机构医疗责任保险统保条款</w:t>
            </w:r>
          </w:p>
        </w:tc>
      </w:tr>
      <w:tr w14:paraId="666A2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4" w:hRule="atLeast"/>
        </w:trPr>
        <w:tc>
          <w:tcPr>
            <w:tcW w:w="820" w:type="pct"/>
            <w:noWrap w:val="0"/>
            <w:vAlign w:val="center"/>
          </w:tcPr>
          <w:p w14:paraId="2D3B3CA6">
            <w:pPr>
              <w:numPr>
                <w:ilvl w:val="0"/>
                <w:numId w:val="2"/>
              </w:numPr>
              <w:tabs>
                <w:tab w:val="left" w:pos="1620"/>
              </w:tabs>
              <w:spacing w:line="400" w:lineRule="exact"/>
              <w:rPr>
                <w:rFonts w:hint="eastAsia" w:ascii="仿宋" w:hAnsi="仿宋" w:eastAsia="仿宋" w:cs="仿宋"/>
                <w:b/>
                <w:bCs/>
                <w:color w:val="auto"/>
                <w:szCs w:val="21"/>
                <w:highlight w:val="none"/>
                <w:lang w:eastAsia="zh-CN"/>
              </w:rPr>
            </w:pPr>
            <w:r>
              <w:rPr>
                <w:rFonts w:hint="eastAsia" w:ascii="仿宋" w:hAnsi="仿宋" w:eastAsia="仿宋" w:cs="仿宋"/>
                <w:b/>
                <w:bCs/>
                <w:color w:val="auto"/>
                <w:szCs w:val="21"/>
                <w:highlight w:val="none"/>
                <w:lang w:eastAsia="zh-CN"/>
              </w:rPr>
              <w:t>保险责任</w:t>
            </w:r>
          </w:p>
          <w:p w14:paraId="29E51F8F">
            <w:pPr>
              <w:numPr>
                <w:ilvl w:val="0"/>
                <w:numId w:val="0"/>
              </w:numPr>
              <w:tabs>
                <w:tab w:val="left" w:pos="1620"/>
              </w:tabs>
              <w:spacing w:line="400" w:lineRule="exact"/>
              <w:ind w:firstLine="422" w:firstLineChars="200"/>
              <w:rPr>
                <w:rFonts w:hint="eastAsia" w:ascii="仿宋" w:hAnsi="仿宋" w:eastAsia="仿宋" w:cs="仿宋"/>
                <w:b/>
                <w:color w:val="auto"/>
                <w:szCs w:val="21"/>
                <w:highlight w:val="none"/>
              </w:rPr>
            </w:pPr>
          </w:p>
        </w:tc>
        <w:tc>
          <w:tcPr>
            <w:tcW w:w="4179" w:type="pct"/>
            <w:shd w:val="clear" w:color="auto" w:fill="auto"/>
            <w:noWrap w:val="0"/>
            <w:vAlign w:val="center"/>
          </w:tcPr>
          <w:p w14:paraId="7B4645CE">
            <w:pPr>
              <w:spacing w:line="400" w:lineRule="exact"/>
              <w:ind w:left="0" w:leftChars="0" w:right="167" w:rightChars="0" w:firstLine="420" w:firstLineChars="200"/>
              <w:jc w:val="left"/>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在保险单载明的保险期间和追溯期内，被保险人及其保险单载明的医务人员在从事与其诊疗科目、医务人员执业资格相符的诊疗活动中，因过失造成患者人身损害，在保险期间内，由患方首次向被保险人提出损害赔偿请求依照中华人民共和国法律(不包括港、澳、台地区法律)应由被保险人承担的经济赔偿责任，保险人按照本保险合同的约定负责赔偿。</w:t>
            </w:r>
          </w:p>
          <w:p w14:paraId="2F715A3F">
            <w:pPr>
              <w:spacing w:line="400" w:lineRule="exact"/>
              <w:ind w:left="0" w:leftChars="0" w:right="167" w:rightChars="0" w:firstLine="420" w:firstLineChars="200"/>
              <w:jc w:val="left"/>
              <w:rPr>
                <w:rFonts w:hint="eastAsia" w:ascii="仿宋" w:hAnsi="仿宋" w:eastAsia="仿宋" w:cs="仿宋"/>
                <w:color w:val="auto"/>
                <w:szCs w:val="21"/>
                <w:highlight w:val="none"/>
              </w:rPr>
            </w:pPr>
            <w:r>
              <w:rPr>
                <w:rFonts w:hint="eastAsia" w:ascii="仿宋" w:hAnsi="仿宋" w:eastAsia="仿宋" w:cs="仿宋"/>
                <w:b w:val="0"/>
                <w:bCs w:val="0"/>
                <w:color w:val="auto"/>
                <w:sz w:val="21"/>
                <w:szCs w:val="21"/>
                <w:highlight w:val="none"/>
                <w:lang w:val="en-US" w:eastAsia="zh-CN"/>
              </w:rPr>
              <w:t>2.保险事故发生后，被保险人因保险事故而被提起仲裁或者诉讼的:对应由被保险人支付的仲裁或诉讼费用以及事先经保险人书面同意支付的其他必要的、合理的费用(以下简称“法律费用”)，保险人按照本保险合同约定也负责赔偿。</w:t>
            </w:r>
          </w:p>
        </w:tc>
      </w:tr>
      <w:tr w14:paraId="1740C1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45" w:hRule="atLeast"/>
        </w:trPr>
        <w:tc>
          <w:tcPr>
            <w:tcW w:w="820" w:type="pct"/>
            <w:noWrap w:val="0"/>
            <w:vAlign w:val="center"/>
          </w:tcPr>
          <w:p w14:paraId="2FB6286C">
            <w:pPr>
              <w:spacing w:line="400" w:lineRule="exact"/>
              <w:jc w:val="center"/>
              <w:rPr>
                <w:rFonts w:hint="eastAsia" w:ascii="仿宋" w:hAnsi="仿宋" w:eastAsia="仿宋" w:cs="仿宋"/>
                <w:b/>
                <w:bCs/>
                <w:color w:val="auto"/>
                <w:szCs w:val="21"/>
                <w:highlight w:val="none"/>
                <w:lang w:val="en-US" w:eastAsia="zh-CN"/>
              </w:rPr>
            </w:pPr>
            <w:r>
              <w:rPr>
                <w:rFonts w:hint="eastAsia" w:ascii="仿宋" w:hAnsi="仿宋" w:eastAsia="仿宋" w:cs="仿宋"/>
                <w:b/>
                <w:bCs/>
                <w:color w:val="auto"/>
                <w:szCs w:val="21"/>
                <w:highlight w:val="none"/>
                <w:lang w:val="en-US" w:eastAsia="zh-CN"/>
              </w:rPr>
              <w:t>8、特别约定</w:t>
            </w:r>
          </w:p>
        </w:tc>
        <w:tc>
          <w:tcPr>
            <w:tcW w:w="4179" w:type="pct"/>
            <w:shd w:val="clear" w:color="auto" w:fill="auto"/>
            <w:noWrap w:val="0"/>
            <w:vAlign w:val="top"/>
          </w:tcPr>
          <w:p w14:paraId="0BF359CC">
            <w:pPr>
              <w:spacing w:line="400" w:lineRule="exact"/>
              <w:ind w:left="0" w:leftChars="0" w:right="167" w:rightChars="0"/>
              <w:jc w:val="both"/>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1.本保单需扩展承保实习生、社区医院轮科医务人员、服务基层医务人员及外请医务人员医疗责任保险，实习生、社区医院轮科医务人员、服务基层医务人员</w:t>
            </w:r>
            <w:r>
              <w:rPr>
                <w:rFonts w:hint="eastAsia" w:ascii="仿宋" w:hAnsi="仿宋" w:eastAsia="仿宋" w:cs="仿宋"/>
                <w:color w:val="auto"/>
                <w:szCs w:val="21"/>
                <w:highlight w:val="none"/>
                <w:lang w:val="en-US" w:eastAsia="zh-CN"/>
              </w:rPr>
              <w:t>的</w:t>
            </w:r>
            <w:r>
              <w:rPr>
                <w:rFonts w:hint="eastAsia" w:ascii="仿宋" w:hAnsi="仿宋" w:eastAsia="仿宋" w:cs="仿宋"/>
                <w:color w:val="auto"/>
                <w:szCs w:val="21"/>
                <w:highlight w:val="none"/>
                <w:lang w:eastAsia="zh-CN"/>
              </w:rPr>
              <w:t>总人数不超投保医务人员的10%；本保单承保的医务人员，应包括被保险人符合《医师外出会诊管理暂行规定》临时邀请参加会诊的非本院医务人员，每次会诊医务人员不超10人。</w:t>
            </w:r>
          </w:p>
          <w:p w14:paraId="23E3440C">
            <w:pPr>
              <w:spacing w:line="400" w:lineRule="exact"/>
              <w:ind w:left="0" w:leftChars="0" w:right="167" w:rightChars="0"/>
              <w:jc w:val="both"/>
              <w:rPr>
                <w:rFonts w:hint="eastAsia" w:ascii="仿宋" w:hAnsi="仿宋" w:eastAsia="仿宋" w:cs="仿宋"/>
                <w:color w:val="auto"/>
                <w:szCs w:val="21"/>
                <w:highlight w:val="none"/>
                <w:lang w:eastAsia="zh-CN"/>
              </w:rPr>
            </w:pPr>
            <w:r>
              <w:rPr>
                <w:rFonts w:hint="eastAsia" w:ascii="仿宋" w:hAnsi="仿宋" w:eastAsia="仿宋" w:cs="仿宋"/>
                <w:color w:val="auto"/>
                <w:szCs w:val="21"/>
                <w:highlight w:val="none"/>
                <w:lang w:eastAsia="zh-CN"/>
              </w:rPr>
              <w:t>2.保障范围包括列明地址内所有科室及所有职级医务人员。本次投保床位235张，医务人员300人。如承保后实际医务人员、床位数因实际需求发生动态变化并超过已投保床位、医务人员数量时，则应按照不足额投保处理，按(投保床位数+投保医务人员数)与(实际床位数+实际医务人员数)的比例乘以实际损失计算赔偿。</w:t>
            </w:r>
          </w:p>
          <w:p w14:paraId="3853F0D1">
            <w:pPr>
              <w:spacing w:line="400" w:lineRule="exact"/>
              <w:ind w:left="0" w:leftChars="0" w:right="167" w:rightChars="0"/>
              <w:jc w:val="both"/>
              <w:rPr>
                <w:rFonts w:hint="eastAsia" w:ascii="仿宋" w:hAnsi="仿宋" w:eastAsia="仿宋" w:cs="仿宋"/>
                <w:color w:val="auto"/>
                <w:szCs w:val="21"/>
                <w:highlight w:val="none"/>
              </w:rPr>
            </w:pPr>
            <w:r>
              <w:rPr>
                <w:rFonts w:hint="eastAsia" w:ascii="仿宋" w:hAnsi="仿宋" w:eastAsia="仿宋" w:cs="仿宋"/>
                <w:color w:val="auto"/>
                <w:szCs w:val="21"/>
                <w:highlight w:val="none"/>
                <w:lang w:eastAsia="zh-CN"/>
              </w:rPr>
              <w:t>3.年度内医疗责任累计赔偿限额为人民币220万元，每次事故赔偿限额50万，其中每人每次赔偿限额50万元(其中鉴定费用2万元；</w:t>
            </w:r>
            <w:r>
              <w:rPr>
                <w:rFonts w:hint="eastAsia" w:ascii="仿宋" w:hAnsi="仿宋" w:eastAsia="仿宋" w:cs="仿宋"/>
                <w:color w:val="auto"/>
                <w:szCs w:val="21"/>
                <w:highlight w:val="none"/>
                <w:lang w:eastAsia="zh-CN"/>
              </w:rPr>
              <w:br w:type="page"/>
            </w:r>
            <w:r>
              <w:rPr>
                <w:rFonts w:hint="eastAsia" w:ascii="仿宋" w:hAnsi="仿宋" w:eastAsia="仿宋" w:cs="仿宋"/>
                <w:color w:val="auto"/>
                <w:szCs w:val="21"/>
                <w:highlight w:val="none"/>
                <w:lang w:eastAsia="zh-CN"/>
              </w:rPr>
              <w:t>法律费用5万元；精神损害费用5万元)。医疗纠纷年度内赔偿限额人民币50万元，每次事故赔偿限额10万元，其中每人每次赔偿限额10万元(其中鉴定费用2万元；法律费用2万元)。医务人员意外伤害保险累计赔偿限额50万，每次事故赔偿限额10万，其中每人每次赔偿限额10万元(其中医疗费2万元)。</w:t>
            </w:r>
          </w:p>
        </w:tc>
      </w:tr>
      <w:tr w14:paraId="3C82E6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68" w:hRule="exact"/>
        </w:trPr>
        <w:tc>
          <w:tcPr>
            <w:tcW w:w="820" w:type="pct"/>
            <w:noWrap w:val="0"/>
            <w:vAlign w:val="center"/>
          </w:tcPr>
          <w:p w14:paraId="681A3A2E">
            <w:pPr>
              <w:spacing w:line="400" w:lineRule="exact"/>
              <w:ind w:left="42" w:leftChars="20"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9</w:t>
            </w:r>
            <w:r>
              <w:rPr>
                <w:rFonts w:hint="eastAsia" w:ascii="仿宋" w:hAnsi="仿宋" w:eastAsia="仿宋" w:cs="仿宋"/>
                <w:b/>
                <w:color w:val="auto"/>
                <w:szCs w:val="21"/>
                <w:highlight w:val="none"/>
              </w:rPr>
              <w:t>、保险期限：</w:t>
            </w:r>
          </w:p>
        </w:tc>
        <w:tc>
          <w:tcPr>
            <w:tcW w:w="4179" w:type="pct"/>
            <w:noWrap w:val="0"/>
            <w:vAlign w:val="center"/>
          </w:tcPr>
          <w:p w14:paraId="65FB750D">
            <w:pPr>
              <w:spacing w:line="400" w:lineRule="exact"/>
              <w:ind w:left="0" w:leftChars="0" w:right="167" w:rightChars="0"/>
              <w:jc w:val="both"/>
              <w:rPr>
                <w:rFonts w:hint="eastAsia" w:ascii="仿宋" w:hAnsi="仿宋" w:eastAsia="仿宋" w:cs="仿宋"/>
                <w:color w:val="auto"/>
                <w:szCs w:val="21"/>
                <w:highlight w:val="none"/>
              </w:rPr>
            </w:pPr>
            <w:r>
              <w:rPr>
                <w:rFonts w:hint="eastAsia" w:ascii="仿宋" w:hAnsi="仿宋" w:eastAsia="仿宋" w:cs="仿宋"/>
                <w:color w:val="auto"/>
                <w:szCs w:val="21"/>
                <w:highlight w:val="none"/>
                <w:lang w:eastAsia="zh-CN"/>
              </w:rPr>
              <w:t>一年</w:t>
            </w:r>
          </w:p>
        </w:tc>
      </w:tr>
      <w:tr w14:paraId="1D456A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8" w:hRule="exact"/>
        </w:trPr>
        <w:tc>
          <w:tcPr>
            <w:tcW w:w="820" w:type="pct"/>
            <w:noWrap w:val="0"/>
            <w:vAlign w:val="center"/>
          </w:tcPr>
          <w:p w14:paraId="6F5BAA9F">
            <w:pPr>
              <w:spacing w:line="400" w:lineRule="exact"/>
              <w:ind w:left="42" w:leftChars="20"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10</w:t>
            </w:r>
            <w:r>
              <w:rPr>
                <w:rFonts w:hint="eastAsia" w:ascii="仿宋" w:hAnsi="仿宋" w:eastAsia="仿宋" w:cs="仿宋"/>
                <w:b/>
                <w:color w:val="auto"/>
                <w:szCs w:val="21"/>
                <w:highlight w:val="none"/>
              </w:rPr>
              <w:t>、追溯期：</w:t>
            </w:r>
          </w:p>
        </w:tc>
        <w:tc>
          <w:tcPr>
            <w:tcW w:w="4179" w:type="pct"/>
            <w:noWrap w:val="0"/>
            <w:vAlign w:val="top"/>
          </w:tcPr>
          <w:p w14:paraId="41EAE0D7">
            <w:pPr>
              <w:spacing w:line="400" w:lineRule="exact"/>
              <w:ind w:left="0" w:leftChars="0" w:right="167" w:rightChars="0"/>
              <w:jc w:val="left"/>
              <w:rPr>
                <w:rFonts w:hint="eastAsia" w:ascii="仿宋" w:hAnsi="仿宋" w:eastAsia="仿宋" w:cs="仿宋"/>
                <w:color w:val="auto"/>
                <w:szCs w:val="21"/>
                <w:highlight w:val="none"/>
              </w:rPr>
            </w:pPr>
            <w:r>
              <w:rPr>
                <w:rFonts w:hint="eastAsia" w:ascii="仿宋" w:hAnsi="仿宋" w:eastAsia="仿宋" w:cs="仿宋"/>
                <w:b w:val="0"/>
                <w:bCs w:val="0"/>
                <w:color w:val="auto"/>
                <w:szCs w:val="21"/>
                <w:highlight w:val="none"/>
                <w:lang w:val="en-US" w:eastAsia="zh-CN"/>
              </w:rPr>
              <w:t>保单为期内索赔制保单，不设追溯期</w:t>
            </w:r>
            <w:r>
              <w:rPr>
                <w:rFonts w:hint="eastAsia" w:ascii="仿宋" w:hAnsi="仿宋" w:eastAsia="仿宋" w:cs="仿宋"/>
                <w:b w:val="0"/>
                <w:bCs w:val="0"/>
                <w:color w:val="auto"/>
                <w:szCs w:val="21"/>
                <w:highlight w:val="none"/>
              </w:rPr>
              <w:t>。</w:t>
            </w:r>
          </w:p>
        </w:tc>
      </w:tr>
      <w:tr w14:paraId="6F888E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7" w:hRule="exact"/>
        </w:trPr>
        <w:tc>
          <w:tcPr>
            <w:tcW w:w="820" w:type="pct"/>
            <w:noWrap w:val="0"/>
            <w:vAlign w:val="center"/>
          </w:tcPr>
          <w:p w14:paraId="59CDB055">
            <w:pPr>
              <w:spacing w:line="400" w:lineRule="exact"/>
              <w:ind w:left="42" w:leftChars="20"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1</w:t>
            </w:r>
            <w:r>
              <w:rPr>
                <w:rFonts w:hint="eastAsia" w:ascii="仿宋" w:hAnsi="仿宋" w:eastAsia="仿宋" w:cs="仿宋"/>
                <w:b/>
                <w:color w:val="auto"/>
                <w:szCs w:val="21"/>
                <w:highlight w:val="none"/>
                <w:lang w:val="en-US" w:eastAsia="zh-CN"/>
              </w:rPr>
              <w:t>1</w:t>
            </w:r>
            <w:r>
              <w:rPr>
                <w:rFonts w:hint="eastAsia" w:ascii="仿宋" w:hAnsi="仿宋" w:eastAsia="仿宋" w:cs="仿宋"/>
                <w:b/>
                <w:color w:val="auto"/>
                <w:szCs w:val="21"/>
                <w:highlight w:val="none"/>
              </w:rPr>
              <w:t>、赔偿</w:t>
            </w:r>
            <w:r>
              <w:rPr>
                <w:rFonts w:hint="eastAsia" w:ascii="仿宋" w:hAnsi="仿宋" w:eastAsia="仿宋" w:cs="仿宋"/>
                <w:b/>
                <w:color w:val="auto"/>
                <w:szCs w:val="21"/>
                <w:highlight w:val="none"/>
                <w:lang w:eastAsia="zh-CN"/>
              </w:rPr>
              <w:t>范围</w:t>
            </w:r>
            <w:r>
              <w:rPr>
                <w:rFonts w:hint="eastAsia" w:ascii="仿宋" w:hAnsi="仿宋" w:eastAsia="仿宋" w:cs="仿宋"/>
                <w:b/>
                <w:color w:val="auto"/>
                <w:szCs w:val="21"/>
                <w:highlight w:val="none"/>
              </w:rPr>
              <w:t>：</w:t>
            </w:r>
          </w:p>
        </w:tc>
        <w:tc>
          <w:tcPr>
            <w:tcW w:w="4179" w:type="pct"/>
            <w:noWrap w:val="0"/>
            <w:vAlign w:val="top"/>
          </w:tcPr>
          <w:p w14:paraId="2A4397B4">
            <w:pPr>
              <w:keepNext w:val="0"/>
              <w:keepLines w:val="0"/>
              <w:pageBreakBefore w:val="0"/>
              <w:widowControl/>
              <w:kinsoku/>
              <w:wordWrap/>
              <w:overflowPunct/>
              <w:topLinePunct w:val="0"/>
              <w:autoSpaceDE/>
              <w:autoSpaceDN/>
              <w:bidi w:val="0"/>
              <w:adjustRightInd/>
              <w:snapToGrid/>
              <w:spacing w:line="400" w:lineRule="exact"/>
              <w:ind w:left="0" w:leftChars="0" w:right="167" w:rightChars="0" w:firstLine="420" w:firstLineChars="200"/>
              <w:jc w:val="left"/>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经济赔偿责任参照《侵权责任法》、《最高人民法院关于审理人身损害赔偿案件适用法律若干问题的解释》、《医疗纠纷预防和处理条例》、《医疗事故处理条例》规定计算，具体赔偿项目包括但不限于以下项目：</w:t>
            </w:r>
          </w:p>
          <w:p w14:paraId="18FEC776">
            <w:pPr>
              <w:keepNext w:val="0"/>
              <w:keepLines w:val="0"/>
              <w:pageBreakBefore w:val="0"/>
              <w:widowControl/>
              <w:kinsoku/>
              <w:wordWrap/>
              <w:overflowPunct/>
              <w:topLinePunct w:val="0"/>
              <w:autoSpaceDE/>
              <w:autoSpaceDN/>
              <w:bidi w:val="0"/>
              <w:adjustRightInd/>
              <w:snapToGrid/>
              <w:spacing w:line="400" w:lineRule="exact"/>
              <w:ind w:left="0" w:leftChars="0" w:right="167" w:rightChars="0" w:firstLine="210" w:firstLineChars="100"/>
              <w:jc w:val="left"/>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（1）患者因就医治疗支出的各项费用以及因误工减少的收入，包括医疗费、误工费、护理费、交通费、住宿费、住院伙食补助费、必要的营养费；</w:t>
            </w:r>
          </w:p>
          <w:p w14:paraId="1174C236">
            <w:pPr>
              <w:keepNext w:val="0"/>
              <w:keepLines w:val="0"/>
              <w:pageBreakBefore w:val="0"/>
              <w:widowControl/>
              <w:kinsoku/>
              <w:wordWrap/>
              <w:overflowPunct/>
              <w:topLinePunct w:val="0"/>
              <w:autoSpaceDE/>
              <w:autoSpaceDN/>
              <w:bidi w:val="0"/>
              <w:adjustRightInd/>
              <w:snapToGrid/>
              <w:spacing w:line="400" w:lineRule="exact"/>
              <w:ind w:left="0" w:leftChars="0" w:right="167" w:rightChars="0" w:firstLine="210" w:firstLineChars="100"/>
              <w:jc w:val="left"/>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患者因伤致残的，其因增加生活上需要所支出的必要费用以及因丧失劳动能力导致的收入损失，包括残疾赔偿金、残疾辅助器具费、被扶养人生活费，以及因康复护理、继续治疗实际发生的必要的康复费、护理费、后续治疗费；</w:t>
            </w:r>
          </w:p>
          <w:p w14:paraId="776348AD">
            <w:pPr>
              <w:keepNext w:val="0"/>
              <w:keepLines w:val="0"/>
              <w:pageBreakBefore w:val="0"/>
              <w:widowControl/>
              <w:kinsoku/>
              <w:wordWrap/>
              <w:overflowPunct/>
              <w:topLinePunct w:val="0"/>
              <w:autoSpaceDE/>
              <w:autoSpaceDN/>
              <w:bidi w:val="0"/>
              <w:adjustRightInd/>
              <w:snapToGrid/>
              <w:spacing w:line="400" w:lineRule="exact"/>
              <w:ind w:left="0" w:leftChars="0" w:right="167" w:rightChars="0" w:firstLine="210" w:firstLineChars="100"/>
              <w:jc w:val="left"/>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（3）患者死亡的，除应当根据抢救治疗情况赔偿（1）规定的相关费用外，还应当赔偿丧葬费、被扶养人生活费、死亡补偿费以及受害人亲属办理丧葬事宜支出的交通费、住宿费和误工损失等其他合理费用；</w:t>
            </w:r>
          </w:p>
          <w:p w14:paraId="208EED78">
            <w:pPr>
              <w:keepNext w:val="0"/>
              <w:keepLines w:val="0"/>
              <w:pageBreakBefore w:val="0"/>
              <w:widowControl/>
              <w:kinsoku/>
              <w:wordWrap/>
              <w:overflowPunct/>
              <w:topLinePunct w:val="0"/>
              <w:autoSpaceDE/>
              <w:autoSpaceDN/>
              <w:bidi w:val="0"/>
              <w:adjustRightInd/>
              <w:snapToGrid/>
              <w:spacing w:line="400" w:lineRule="exact"/>
              <w:ind w:left="0" w:leftChars="0" w:right="167" w:rightChars="0" w:firstLine="210" w:firstLineChars="100"/>
              <w:jc w:val="left"/>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（4）患者或其近亲属遭受精神损害，经仲裁机构或法院判决、仲裁、调解或经司法局备案的人民调解委员会酌情评鉴所需支付的精神损害抚慰金。</w:t>
            </w:r>
          </w:p>
          <w:p w14:paraId="1131EF32">
            <w:pPr>
              <w:keepNext w:val="0"/>
              <w:keepLines w:val="0"/>
              <w:pageBreakBefore w:val="0"/>
              <w:widowControl/>
              <w:kinsoku/>
              <w:wordWrap/>
              <w:overflowPunct/>
              <w:topLinePunct w:val="0"/>
              <w:autoSpaceDE/>
              <w:autoSpaceDN/>
              <w:bidi w:val="0"/>
              <w:adjustRightInd/>
              <w:snapToGrid/>
              <w:spacing w:line="400" w:lineRule="exact"/>
              <w:ind w:left="0" w:leftChars="0" w:right="167" w:rightChars="0" w:firstLine="210" w:firstLineChars="100"/>
              <w:jc w:val="left"/>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2.根据被保险人的请求，保险人应当直接向患方赔偿保险金。</w:t>
            </w:r>
          </w:p>
          <w:p w14:paraId="6622B63E">
            <w:pPr>
              <w:keepNext w:val="0"/>
              <w:keepLines w:val="0"/>
              <w:pageBreakBefore w:val="0"/>
              <w:widowControl/>
              <w:kinsoku/>
              <w:wordWrap/>
              <w:overflowPunct/>
              <w:topLinePunct w:val="0"/>
              <w:autoSpaceDE/>
              <w:autoSpaceDN/>
              <w:bidi w:val="0"/>
              <w:adjustRightInd/>
              <w:snapToGrid/>
              <w:spacing w:line="400" w:lineRule="exact"/>
              <w:ind w:left="0" w:leftChars="0" w:right="167" w:rightChars="0" w:firstLine="210" w:firstLineChars="100"/>
              <w:jc w:val="left"/>
              <w:textAlignment w:val="auto"/>
              <w:outlineLvl w:val="9"/>
              <w:rPr>
                <w:rFonts w:hint="eastAsia" w:ascii="仿宋" w:hAnsi="仿宋" w:eastAsia="仿宋" w:cs="仿宋"/>
                <w:b w:val="0"/>
                <w:bCs w:val="0"/>
                <w:color w:val="auto"/>
                <w:sz w:val="21"/>
                <w:szCs w:val="21"/>
                <w:highlight w:val="none"/>
                <w:lang w:val="en-US" w:eastAsia="zh-CN"/>
              </w:rPr>
            </w:pPr>
            <w:r>
              <w:rPr>
                <w:rFonts w:hint="eastAsia" w:ascii="仿宋" w:hAnsi="仿宋" w:eastAsia="仿宋" w:cs="仿宋"/>
                <w:b w:val="0"/>
                <w:bCs w:val="0"/>
                <w:color w:val="auto"/>
                <w:sz w:val="21"/>
                <w:szCs w:val="21"/>
                <w:highlight w:val="none"/>
                <w:lang w:val="en-US" w:eastAsia="zh-CN"/>
              </w:rPr>
              <w:t>3.诉讼案件律师费用，保险人应当与被保险人及代理律师签署三方协议，由保险人直接支付给代理律师。</w:t>
            </w:r>
          </w:p>
          <w:p w14:paraId="35D3AE93">
            <w:pPr>
              <w:spacing w:line="400" w:lineRule="exact"/>
              <w:ind w:left="42" w:leftChars="20" w:right="145" w:rightChars="69"/>
              <w:jc w:val="left"/>
              <w:rPr>
                <w:rFonts w:hint="eastAsia" w:ascii="仿宋" w:hAnsi="仿宋" w:eastAsia="仿宋" w:cs="仿宋"/>
                <w:color w:val="auto"/>
                <w:szCs w:val="21"/>
                <w:highlight w:val="none"/>
              </w:rPr>
            </w:pPr>
          </w:p>
        </w:tc>
      </w:tr>
      <w:tr w14:paraId="68B942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2" w:hRule="exact"/>
        </w:trPr>
        <w:tc>
          <w:tcPr>
            <w:tcW w:w="820" w:type="pct"/>
            <w:tcBorders>
              <w:bottom w:val="single" w:color="auto" w:sz="4" w:space="0"/>
            </w:tcBorders>
            <w:noWrap w:val="0"/>
            <w:vAlign w:val="center"/>
          </w:tcPr>
          <w:p w14:paraId="4C2EB58C">
            <w:pPr>
              <w:spacing w:line="400" w:lineRule="exact"/>
              <w:ind w:left="42" w:leftChars="20"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rPr>
              <w:t>1</w:t>
            </w:r>
            <w:r>
              <w:rPr>
                <w:rFonts w:hint="eastAsia" w:ascii="仿宋" w:hAnsi="仿宋" w:eastAsia="仿宋" w:cs="仿宋"/>
                <w:b/>
                <w:color w:val="auto"/>
                <w:szCs w:val="21"/>
                <w:highlight w:val="none"/>
                <w:lang w:val="en-US" w:eastAsia="zh-CN"/>
              </w:rPr>
              <w:t>2</w:t>
            </w:r>
            <w:r>
              <w:rPr>
                <w:rFonts w:hint="eastAsia" w:ascii="仿宋" w:hAnsi="仿宋" w:eastAsia="仿宋" w:cs="仿宋"/>
                <w:b/>
                <w:color w:val="auto"/>
                <w:szCs w:val="21"/>
                <w:highlight w:val="none"/>
              </w:rPr>
              <w:t>、司法管辖：</w:t>
            </w:r>
          </w:p>
        </w:tc>
        <w:tc>
          <w:tcPr>
            <w:tcW w:w="4179" w:type="pct"/>
            <w:tcBorders>
              <w:bottom w:val="single" w:color="auto" w:sz="4" w:space="0"/>
            </w:tcBorders>
            <w:noWrap w:val="0"/>
            <w:vAlign w:val="top"/>
          </w:tcPr>
          <w:p w14:paraId="386051BB">
            <w:pPr>
              <w:spacing w:line="400" w:lineRule="exact"/>
              <w:ind w:left="42" w:leftChars="20" w:right="145" w:rightChars="69"/>
              <w:jc w:val="left"/>
              <w:rPr>
                <w:rFonts w:hint="eastAsia" w:ascii="仿宋" w:hAnsi="仿宋" w:eastAsia="仿宋" w:cs="仿宋"/>
                <w:color w:val="auto"/>
                <w:szCs w:val="21"/>
                <w:highlight w:val="none"/>
              </w:rPr>
            </w:pPr>
            <w:r>
              <w:rPr>
                <w:rFonts w:hint="eastAsia" w:ascii="仿宋" w:hAnsi="仿宋" w:eastAsia="仿宋" w:cs="仿宋"/>
                <w:color w:val="auto"/>
                <w:szCs w:val="21"/>
                <w:highlight w:val="none"/>
              </w:rPr>
              <w:t>适用于中华人民共和国司法管辖（不含港、澳、台地区法律）</w:t>
            </w:r>
          </w:p>
        </w:tc>
      </w:tr>
      <w:tr w14:paraId="3ECC10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exact"/>
        </w:trPr>
        <w:tc>
          <w:tcPr>
            <w:tcW w:w="820" w:type="pct"/>
            <w:vMerge w:val="restart"/>
            <w:noWrap w:val="0"/>
            <w:vAlign w:val="center"/>
          </w:tcPr>
          <w:p w14:paraId="7F53A046">
            <w:pPr>
              <w:spacing w:line="400" w:lineRule="exact"/>
              <w:ind w:right="-76" w:rightChars="-36"/>
              <w:rPr>
                <w:rFonts w:hint="eastAsia" w:ascii="仿宋" w:hAnsi="仿宋" w:eastAsia="仿宋" w:cs="仿宋"/>
                <w:b/>
                <w:color w:val="auto"/>
                <w:szCs w:val="21"/>
                <w:highlight w:val="none"/>
              </w:rPr>
            </w:pPr>
            <w:r>
              <w:rPr>
                <w:rFonts w:hint="eastAsia" w:ascii="仿宋" w:hAnsi="仿宋" w:eastAsia="仿宋" w:cs="仿宋"/>
                <w:b/>
                <w:color w:val="auto"/>
                <w:szCs w:val="21"/>
                <w:highlight w:val="none"/>
                <w:lang w:val="en-US" w:eastAsia="zh-CN"/>
              </w:rPr>
              <w:t>13、核损时效</w:t>
            </w:r>
          </w:p>
        </w:tc>
        <w:tc>
          <w:tcPr>
            <w:tcW w:w="4179" w:type="pct"/>
            <w:tcBorders>
              <w:bottom w:val="single" w:color="auto" w:sz="4" w:space="0"/>
            </w:tcBorders>
            <w:noWrap w:val="0"/>
            <w:vAlign w:val="top"/>
          </w:tcPr>
          <w:p w14:paraId="49FCA840">
            <w:pPr>
              <w:spacing w:line="300" w:lineRule="auto"/>
              <w:ind w:left="0" w:leftChars="0" w:right="0" w:rightChars="0"/>
              <w:jc w:val="left"/>
              <w:outlineLvl w:val="9"/>
              <w:rPr>
                <w:rFonts w:hint="eastAsia" w:ascii="仿宋" w:hAnsi="仿宋" w:eastAsia="仿宋" w:cs="仿宋"/>
                <w:color w:val="auto"/>
                <w:sz w:val="24"/>
                <w:szCs w:val="24"/>
                <w:highlight w:val="none"/>
              </w:rPr>
            </w:pPr>
            <w:r>
              <w:rPr>
                <w:rFonts w:hint="eastAsia" w:ascii="仿宋" w:hAnsi="仿宋" w:eastAsia="仿宋" w:cs="仿宋"/>
                <w:b w:val="0"/>
                <w:bCs w:val="0"/>
                <w:color w:val="auto"/>
                <w:sz w:val="21"/>
                <w:szCs w:val="21"/>
                <w:highlight w:val="none"/>
                <w:lang w:val="en-US" w:eastAsia="zh-CN"/>
              </w:rPr>
              <w:t>索赔金额；人民币5万元（含5万元）以下，在5个工作日内</w:t>
            </w:r>
          </w:p>
        </w:tc>
      </w:tr>
      <w:tr w14:paraId="21F9C7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2" w:hRule="exact"/>
        </w:trPr>
        <w:tc>
          <w:tcPr>
            <w:tcW w:w="820" w:type="pct"/>
            <w:vMerge w:val="continue"/>
            <w:noWrap w:val="0"/>
            <w:vAlign w:val="center"/>
          </w:tcPr>
          <w:p w14:paraId="3563E79D">
            <w:pPr>
              <w:spacing w:line="400" w:lineRule="exact"/>
              <w:ind w:right="-76" w:rightChars="-36"/>
              <w:rPr>
                <w:rFonts w:hint="eastAsia" w:ascii="仿宋" w:hAnsi="仿宋" w:eastAsia="仿宋" w:cs="仿宋"/>
                <w:b/>
                <w:color w:val="auto"/>
                <w:szCs w:val="21"/>
                <w:highlight w:val="none"/>
                <w:lang w:val="en-US" w:eastAsia="zh-CN"/>
              </w:rPr>
            </w:pPr>
          </w:p>
        </w:tc>
        <w:tc>
          <w:tcPr>
            <w:tcW w:w="4179" w:type="pct"/>
            <w:tcBorders>
              <w:top w:val="single" w:color="auto" w:sz="4" w:space="0"/>
              <w:bottom w:val="single" w:color="auto" w:sz="4" w:space="0"/>
            </w:tcBorders>
            <w:noWrap w:val="0"/>
            <w:vAlign w:val="top"/>
          </w:tcPr>
          <w:p w14:paraId="0E302C32">
            <w:pPr>
              <w:spacing w:line="300" w:lineRule="auto"/>
              <w:ind w:left="0" w:leftChars="0" w:right="0" w:rightChars="0"/>
              <w:jc w:val="left"/>
              <w:outlineLvl w:val="9"/>
              <w:rPr>
                <w:rFonts w:hint="eastAsia" w:ascii="仿宋" w:hAnsi="仿宋" w:eastAsia="仿宋" w:cs="仿宋"/>
                <w:i w:val="0"/>
                <w:iCs w:val="0"/>
                <w:color w:val="auto"/>
                <w:kern w:val="2"/>
                <w:sz w:val="24"/>
                <w:szCs w:val="24"/>
                <w:highlight w:val="none"/>
                <w:u w:val="none"/>
                <w:lang w:val="en-US" w:eastAsia="zh-CN" w:bidi="ar"/>
              </w:rPr>
            </w:pPr>
            <w:r>
              <w:rPr>
                <w:rFonts w:hint="eastAsia" w:ascii="仿宋" w:hAnsi="仿宋" w:eastAsia="仿宋" w:cs="仿宋"/>
                <w:b w:val="0"/>
                <w:bCs w:val="0"/>
                <w:color w:val="auto"/>
                <w:sz w:val="21"/>
                <w:szCs w:val="21"/>
                <w:highlight w:val="none"/>
                <w:lang w:val="en-US" w:eastAsia="zh-CN"/>
              </w:rPr>
              <w:t>索赔金额：人民币5—30万元（不含5万元，含30万元），在10工作日内</w:t>
            </w:r>
          </w:p>
        </w:tc>
      </w:tr>
      <w:tr w14:paraId="4B9EEF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exact"/>
        </w:trPr>
        <w:tc>
          <w:tcPr>
            <w:tcW w:w="820" w:type="pct"/>
            <w:vMerge w:val="continue"/>
            <w:noWrap w:val="0"/>
            <w:vAlign w:val="center"/>
          </w:tcPr>
          <w:p w14:paraId="79A49CD9">
            <w:pPr>
              <w:spacing w:line="400" w:lineRule="exact"/>
              <w:ind w:right="-76" w:rightChars="-36"/>
              <w:rPr>
                <w:rFonts w:hint="eastAsia" w:ascii="仿宋" w:hAnsi="仿宋" w:eastAsia="仿宋" w:cs="仿宋"/>
                <w:b/>
                <w:color w:val="auto"/>
                <w:szCs w:val="21"/>
                <w:highlight w:val="none"/>
                <w:lang w:val="en-US" w:eastAsia="zh-CN"/>
              </w:rPr>
            </w:pPr>
          </w:p>
        </w:tc>
        <w:tc>
          <w:tcPr>
            <w:tcW w:w="4179" w:type="pct"/>
            <w:tcBorders>
              <w:top w:val="single" w:color="auto" w:sz="4" w:space="0"/>
            </w:tcBorders>
            <w:noWrap w:val="0"/>
            <w:vAlign w:val="top"/>
          </w:tcPr>
          <w:p w14:paraId="48DE22A3">
            <w:pPr>
              <w:spacing w:line="300" w:lineRule="auto"/>
              <w:ind w:left="0" w:leftChars="0" w:right="0" w:rightChars="0"/>
              <w:jc w:val="left"/>
              <w:outlineLvl w:val="9"/>
              <w:rPr>
                <w:rFonts w:hint="eastAsia" w:ascii="仿宋" w:hAnsi="仿宋" w:eastAsia="仿宋" w:cs="仿宋"/>
                <w:i w:val="0"/>
                <w:iCs w:val="0"/>
                <w:color w:val="auto"/>
                <w:kern w:val="2"/>
                <w:sz w:val="24"/>
                <w:szCs w:val="24"/>
                <w:highlight w:val="none"/>
                <w:u w:val="none"/>
                <w:lang w:val="en-US" w:eastAsia="zh-CN" w:bidi="ar"/>
              </w:rPr>
            </w:pPr>
            <w:r>
              <w:rPr>
                <w:rFonts w:hint="eastAsia" w:ascii="仿宋" w:hAnsi="仿宋" w:eastAsia="仿宋" w:cs="仿宋"/>
                <w:b w:val="0"/>
                <w:bCs w:val="0"/>
                <w:color w:val="auto"/>
                <w:sz w:val="21"/>
                <w:szCs w:val="21"/>
                <w:highlight w:val="none"/>
                <w:lang w:val="en-US" w:eastAsia="zh-CN"/>
              </w:rPr>
              <w:t>索赔金额：30万元以上的赔案以上，在15工作日内</w:t>
            </w:r>
          </w:p>
        </w:tc>
      </w:tr>
      <w:tr w14:paraId="76713A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exact"/>
        </w:trPr>
        <w:tc>
          <w:tcPr>
            <w:tcW w:w="820" w:type="pct"/>
            <w:vMerge w:val="restart"/>
            <w:noWrap w:val="0"/>
            <w:vAlign w:val="center"/>
          </w:tcPr>
          <w:p w14:paraId="6DC47DF7">
            <w:pPr>
              <w:spacing w:line="400" w:lineRule="exact"/>
              <w:ind w:right="-76" w:rightChars="-36"/>
              <w:rPr>
                <w:rFonts w:hint="eastAsia" w:ascii="仿宋" w:hAnsi="仿宋" w:eastAsia="仿宋" w:cs="仿宋"/>
                <w:b/>
                <w:color w:val="auto"/>
                <w:szCs w:val="21"/>
                <w:highlight w:val="none"/>
                <w:lang w:val="en-US" w:eastAsia="zh-CN"/>
              </w:rPr>
            </w:pPr>
            <w:r>
              <w:rPr>
                <w:rFonts w:hint="eastAsia" w:ascii="仿宋" w:hAnsi="仿宋" w:eastAsia="仿宋" w:cs="仿宋"/>
                <w:b/>
                <w:color w:val="auto"/>
                <w:szCs w:val="21"/>
                <w:highlight w:val="none"/>
                <w:lang w:val="en-US" w:eastAsia="zh-CN"/>
              </w:rPr>
              <w:t>14、理赔时限</w:t>
            </w:r>
          </w:p>
        </w:tc>
        <w:tc>
          <w:tcPr>
            <w:tcW w:w="4179" w:type="pct"/>
            <w:tcBorders>
              <w:bottom w:val="single" w:color="auto" w:sz="4" w:space="0"/>
            </w:tcBorders>
            <w:shd w:val="clear" w:color="auto" w:fill="auto"/>
            <w:noWrap w:val="0"/>
            <w:vAlign w:val="top"/>
          </w:tcPr>
          <w:p w14:paraId="6822FBC0">
            <w:pPr>
              <w:spacing w:line="300" w:lineRule="auto"/>
              <w:ind w:left="0" w:leftChars="0" w:right="0" w:rightChars="0"/>
              <w:jc w:val="left"/>
              <w:outlineLvl w:val="9"/>
              <w:rPr>
                <w:rFonts w:hint="eastAsia" w:ascii="仿宋" w:hAnsi="仿宋" w:eastAsia="仿宋" w:cs="仿宋"/>
                <w:i w:val="0"/>
                <w:iCs w:val="0"/>
                <w:color w:val="auto"/>
                <w:kern w:val="2"/>
                <w:sz w:val="24"/>
                <w:szCs w:val="24"/>
                <w:highlight w:val="none"/>
                <w:u w:val="none"/>
                <w:lang w:val="en-US" w:eastAsia="zh-CN" w:bidi="ar"/>
              </w:rPr>
            </w:pPr>
            <w:r>
              <w:rPr>
                <w:rFonts w:hint="eastAsia" w:ascii="仿宋" w:hAnsi="仿宋" w:eastAsia="仿宋" w:cs="仿宋"/>
                <w:b w:val="0"/>
                <w:bCs w:val="0"/>
                <w:color w:val="auto"/>
                <w:sz w:val="21"/>
                <w:szCs w:val="21"/>
                <w:highlight w:val="none"/>
                <w:lang w:val="en-US" w:eastAsia="zh-CN"/>
              </w:rPr>
              <w:t>索赔金额：1—10万元（不含1万元，含10万元），5个工作日内</w:t>
            </w:r>
          </w:p>
        </w:tc>
      </w:tr>
      <w:tr w14:paraId="088C2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3" w:hRule="exact"/>
        </w:trPr>
        <w:tc>
          <w:tcPr>
            <w:tcW w:w="820" w:type="pct"/>
            <w:vMerge w:val="continue"/>
            <w:noWrap w:val="0"/>
            <w:vAlign w:val="center"/>
          </w:tcPr>
          <w:p w14:paraId="2B1C8FC3">
            <w:pPr>
              <w:spacing w:line="400" w:lineRule="exact"/>
              <w:ind w:right="-76" w:rightChars="-36"/>
              <w:rPr>
                <w:rFonts w:hint="eastAsia" w:ascii="仿宋" w:hAnsi="仿宋" w:eastAsia="仿宋" w:cs="仿宋"/>
                <w:b/>
                <w:color w:val="auto"/>
                <w:szCs w:val="21"/>
                <w:highlight w:val="none"/>
                <w:lang w:val="en-US" w:eastAsia="zh-CN"/>
              </w:rPr>
            </w:pPr>
          </w:p>
        </w:tc>
        <w:tc>
          <w:tcPr>
            <w:tcW w:w="4179" w:type="pct"/>
            <w:tcBorders>
              <w:top w:val="single" w:color="auto" w:sz="4" w:space="0"/>
              <w:bottom w:val="single" w:color="auto" w:sz="4" w:space="0"/>
            </w:tcBorders>
            <w:shd w:val="clear" w:color="auto" w:fill="auto"/>
            <w:noWrap w:val="0"/>
            <w:vAlign w:val="top"/>
          </w:tcPr>
          <w:p w14:paraId="355225AB">
            <w:pPr>
              <w:spacing w:line="300" w:lineRule="auto"/>
              <w:ind w:left="0" w:leftChars="0" w:right="0" w:rightChars="0"/>
              <w:jc w:val="left"/>
              <w:outlineLvl w:val="9"/>
              <w:rPr>
                <w:rFonts w:hint="eastAsia" w:ascii="仿宋" w:hAnsi="仿宋" w:eastAsia="仿宋" w:cs="仿宋"/>
                <w:i w:val="0"/>
                <w:iCs w:val="0"/>
                <w:color w:val="auto"/>
                <w:kern w:val="2"/>
                <w:sz w:val="21"/>
                <w:szCs w:val="21"/>
                <w:highlight w:val="none"/>
                <w:u w:val="none"/>
                <w:lang w:val="en-US" w:eastAsia="zh-CN" w:bidi="ar"/>
              </w:rPr>
            </w:pPr>
            <w:r>
              <w:rPr>
                <w:rFonts w:hint="eastAsia" w:ascii="仿宋" w:hAnsi="仿宋" w:eastAsia="仿宋" w:cs="仿宋"/>
                <w:b w:val="0"/>
                <w:bCs w:val="0"/>
                <w:color w:val="auto"/>
                <w:sz w:val="21"/>
                <w:szCs w:val="21"/>
                <w:highlight w:val="none"/>
                <w:lang w:val="en-US" w:eastAsia="zh-CN"/>
              </w:rPr>
              <w:t>索赔金额：10—20万元（不含10万元，含20万元），7个工作日内</w:t>
            </w:r>
          </w:p>
        </w:tc>
      </w:tr>
      <w:tr w14:paraId="474315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exact"/>
        </w:trPr>
        <w:tc>
          <w:tcPr>
            <w:tcW w:w="820" w:type="pct"/>
            <w:vMerge w:val="continue"/>
            <w:noWrap w:val="0"/>
            <w:vAlign w:val="center"/>
          </w:tcPr>
          <w:p w14:paraId="32907256">
            <w:pPr>
              <w:spacing w:line="400" w:lineRule="exact"/>
              <w:ind w:right="-76" w:rightChars="-36"/>
              <w:rPr>
                <w:rFonts w:hint="eastAsia" w:ascii="仿宋" w:hAnsi="仿宋" w:eastAsia="仿宋" w:cs="仿宋"/>
                <w:b/>
                <w:color w:val="auto"/>
                <w:szCs w:val="21"/>
                <w:highlight w:val="none"/>
                <w:lang w:val="en-US" w:eastAsia="zh-CN"/>
              </w:rPr>
            </w:pPr>
          </w:p>
        </w:tc>
        <w:tc>
          <w:tcPr>
            <w:tcW w:w="4179" w:type="pct"/>
            <w:tcBorders>
              <w:top w:val="single" w:color="auto" w:sz="4" w:space="0"/>
              <w:bottom w:val="single" w:color="auto" w:sz="4" w:space="0"/>
            </w:tcBorders>
            <w:shd w:val="clear" w:color="auto" w:fill="auto"/>
            <w:noWrap w:val="0"/>
            <w:vAlign w:val="center"/>
          </w:tcPr>
          <w:p w14:paraId="5F63E59E">
            <w:pPr>
              <w:spacing w:line="300" w:lineRule="auto"/>
              <w:ind w:left="0" w:leftChars="0" w:right="0" w:rightChars="0"/>
              <w:outlineLvl w:val="9"/>
              <w:rPr>
                <w:rFonts w:hint="eastAsia" w:ascii="仿宋" w:hAnsi="仿宋" w:eastAsia="仿宋" w:cs="仿宋"/>
                <w:i w:val="0"/>
                <w:iCs w:val="0"/>
                <w:color w:val="auto"/>
                <w:kern w:val="2"/>
                <w:sz w:val="21"/>
                <w:szCs w:val="21"/>
                <w:highlight w:val="none"/>
                <w:u w:val="none"/>
                <w:lang w:val="en-US" w:eastAsia="zh-CN" w:bidi="ar"/>
              </w:rPr>
            </w:pPr>
            <w:r>
              <w:rPr>
                <w:rFonts w:hint="eastAsia" w:ascii="仿宋" w:hAnsi="仿宋" w:eastAsia="仿宋" w:cs="仿宋"/>
                <w:b w:val="0"/>
                <w:bCs w:val="0"/>
                <w:color w:val="auto"/>
                <w:sz w:val="21"/>
                <w:szCs w:val="21"/>
                <w:highlight w:val="none"/>
                <w:lang w:val="en-US" w:eastAsia="zh-CN"/>
              </w:rPr>
              <w:t>索赔金额：20—30万元（不含20万元，含30万元），10个工作日内</w:t>
            </w:r>
          </w:p>
        </w:tc>
      </w:tr>
      <w:tr w14:paraId="106FB3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exact"/>
        </w:trPr>
        <w:tc>
          <w:tcPr>
            <w:tcW w:w="820" w:type="pct"/>
            <w:vMerge w:val="continue"/>
            <w:noWrap w:val="0"/>
            <w:vAlign w:val="center"/>
          </w:tcPr>
          <w:p w14:paraId="5EC7A556">
            <w:pPr>
              <w:spacing w:line="400" w:lineRule="exact"/>
              <w:ind w:right="-76" w:rightChars="-36"/>
              <w:rPr>
                <w:rFonts w:hint="eastAsia" w:ascii="仿宋" w:hAnsi="仿宋" w:eastAsia="仿宋" w:cs="仿宋"/>
                <w:b/>
                <w:color w:val="auto"/>
                <w:szCs w:val="21"/>
                <w:highlight w:val="none"/>
                <w:lang w:val="en-US" w:eastAsia="zh-CN"/>
              </w:rPr>
            </w:pPr>
          </w:p>
        </w:tc>
        <w:tc>
          <w:tcPr>
            <w:tcW w:w="4179" w:type="pct"/>
            <w:tcBorders>
              <w:top w:val="single" w:color="auto" w:sz="4" w:space="0"/>
            </w:tcBorders>
            <w:shd w:val="clear" w:color="auto" w:fill="auto"/>
            <w:noWrap w:val="0"/>
            <w:vAlign w:val="center"/>
          </w:tcPr>
          <w:p w14:paraId="4FD6E5A2">
            <w:pPr>
              <w:spacing w:line="300" w:lineRule="auto"/>
              <w:ind w:left="0" w:leftChars="0" w:right="0" w:rightChars="0"/>
              <w:outlineLvl w:val="9"/>
              <w:rPr>
                <w:rFonts w:hint="eastAsia" w:ascii="仿宋" w:hAnsi="仿宋" w:eastAsia="仿宋" w:cs="仿宋"/>
                <w:b w:val="0"/>
                <w:bCs w:val="0"/>
                <w:color w:val="auto"/>
                <w:kern w:val="2"/>
                <w:sz w:val="21"/>
                <w:szCs w:val="21"/>
                <w:highlight w:val="none"/>
                <w:lang w:val="en-US" w:eastAsia="zh-CN" w:bidi="ar-SA"/>
              </w:rPr>
            </w:pPr>
            <w:r>
              <w:rPr>
                <w:rFonts w:hint="eastAsia" w:ascii="仿宋" w:hAnsi="仿宋" w:eastAsia="仿宋" w:cs="仿宋"/>
                <w:b w:val="0"/>
                <w:bCs w:val="0"/>
                <w:color w:val="auto"/>
                <w:sz w:val="21"/>
                <w:szCs w:val="21"/>
                <w:highlight w:val="none"/>
                <w:lang w:val="en-US" w:eastAsia="zh-CN"/>
              </w:rPr>
              <w:t>索赔金额：30万元以上（不含30万元），15个工作日内</w:t>
            </w:r>
          </w:p>
        </w:tc>
      </w:tr>
      <w:tr w14:paraId="032610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36" w:hRule="exact"/>
        </w:trPr>
        <w:tc>
          <w:tcPr>
            <w:tcW w:w="820" w:type="pct"/>
            <w:noWrap w:val="0"/>
            <w:vAlign w:val="center"/>
          </w:tcPr>
          <w:p w14:paraId="3F1C2E43">
            <w:pPr>
              <w:tabs>
                <w:tab w:val="left" w:pos="1620"/>
              </w:tabs>
              <w:spacing w:line="400" w:lineRule="exact"/>
              <w:rPr>
                <w:rFonts w:hint="eastAsia" w:ascii="仿宋" w:hAnsi="仿宋" w:eastAsia="仿宋" w:cs="仿宋"/>
                <w:b/>
                <w:bCs/>
                <w:color w:val="auto"/>
                <w:kern w:val="2"/>
                <w:sz w:val="21"/>
                <w:szCs w:val="21"/>
                <w:highlight w:val="none"/>
                <w:lang w:val="en-US" w:eastAsia="zh-CN" w:bidi="ar-SA"/>
              </w:rPr>
            </w:pPr>
            <w:r>
              <w:rPr>
                <w:rFonts w:hint="eastAsia" w:ascii="仿宋" w:hAnsi="仿宋" w:eastAsia="仿宋" w:cs="仿宋"/>
                <w:b/>
                <w:bCs/>
                <w:color w:val="auto"/>
                <w:szCs w:val="21"/>
                <w:highlight w:val="none"/>
                <w:lang w:val="en-US" w:eastAsia="zh-CN"/>
              </w:rPr>
              <w:t>15、其他要求</w:t>
            </w:r>
          </w:p>
        </w:tc>
        <w:tc>
          <w:tcPr>
            <w:tcW w:w="4179" w:type="pct"/>
            <w:noWrap w:val="0"/>
            <w:vAlign w:val="center"/>
          </w:tcPr>
          <w:p w14:paraId="5C5AA1C1">
            <w:pPr>
              <w:widowControl/>
              <w:spacing w:line="300" w:lineRule="auto"/>
              <w:ind w:firstLine="420" w:firstLineChars="200"/>
              <w:outlineLvl w:val="9"/>
              <w:rPr>
                <w:rFonts w:hint="eastAsia" w:ascii="仿宋" w:hAnsi="仿宋" w:eastAsia="仿宋" w:cs="仿宋"/>
                <w:color w:val="auto"/>
                <w:sz w:val="21"/>
                <w:szCs w:val="21"/>
                <w:highlight w:val="none"/>
              </w:rPr>
            </w:pPr>
            <w:r>
              <w:rPr>
                <w:rFonts w:hint="eastAsia" w:ascii="仿宋" w:hAnsi="仿宋" w:eastAsia="仿宋" w:cs="仿宋"/>
                <w:color w:val="auto"/>
                <w:sz w:val="21"/>
                <w:szCs w:val="21"/>
                <w:highlight w:val="none"/>
                <w:lang w:val="en-US" w:eastAsia="zh-CN"/>
              </w:rPr>
              <w:t>1.</w:t>
            </w:r>
            <w:r>
              <w:rPr>
                <w:rFonts w:hint="eastAsia" w:ascii="仿宋" w:hAnsi="仿宋" w:eastAsia="仿宋" w:cs="仿宋"/>
                <w:color w:val="auto"/>
                <w:sz w:val="21"/>
                <w:szCs w:val="21"/>
                <w:highlight w:val="none"/>
              </w:rPr>
              <w:t>要求成立一个完善且固定的服务团队（含：医患纠纷人民调解委员会），为采购人/投保人提供客服、定损、索赔、复勘、追偿、数据提取、情况汇报、安全培训以及采购人/投保人投诉处理等相关问题。</w:t>
            </w:r>
          </w:p>
          <w:p w14:paraId="3C376D2A">
            <w:pPr>
              <w:widowControl/>
              <w:spacing w:line="300" w:lineRule="auto"/>
              <w:ind w:firstLine="420" w:firstLineChars="200"/>
              <w:outlineLvl w:val="9"/>
              <w:rPr>
                <w:rFonts w:hint="eastAsia" w:ascii="仿宋" w:hAnsi="仿宋" w:eastAsia="仿宋" w:cs="仿宋"/>
                <w:color w:val="auto"/>
                <w:sz w:val="21"/>
                <w:szCs w:val="21"/>
                <w:highlight w:val="none"/>
                <w:lang w:val="en-US" w:eastAsia="zh-CN"/>
              </w:rPr>
            </w:pPr>
            <w:r>
              <w:rPr>
                <w:rFonts w:hint="eastAsia" w:ascii="仿宋" w:hAnsi="仿宋" w:eastAsia="仿宋" w:cs="仿宋"/>
                <w:color w:val="auto"/>
                <w:sz w:val="21"/>
                <w:szCs w:val="21"/>
                <w:highlight w:val="none"/>
              </w:rPr>
              <w:t>备注：医患纠纷人民调解委员会指广东和谐医患纠纷人民调解委员会及其各地市医患纠纷人民调解委</w:t>
            </w:r>
            <w:r>
              <w:rPr>
                <w:rFonts w:hint="eastAsia" w:ascii="仿宋" w:hAnsi="仿宋" w:eastAsia="仿宋" w:cs="仿宋"/>
                <w:color w:val="auto"/>
                <w:sz w:val="21"/>
                <w:szCs w:val="21"/>
                <w:highlight w:val="none"/>
                <w:lang w:eastAsia="zh-CN"/>
              </w:rPr>
              <w:t>员会。</w:t>
            </w:r>
          </w:p>
          <w:p w14:paraId="37739051">
            <w:pPr>
              <w:keepNext w:val="0"/>
              <w:keepLines w:val="0"/>
              <w:pageBreakBefore w:val="0"/>
              <w:widowControl/>
              <w:kinsoku/>
              <w:wordWrap/>
              <w:overflowPunct/>
              <w:topLinePunct w:val="0"/>
              <w:autoSpaceDE/>
              <w:autoSpaceDN/>
              <w:bidi w:val="0"/>
              <w:adjustRightInd/>
              <w:snapToGrid/>
              <w:spacing w:line="300" w:lineRule="auto"/>
              <w:ind w:left="0" w:leftChars="0" w:right="0" w:rightChars="0" w:firstLine="420" w:firstLineChars="200"/>
              <w:textAlignment w:val="auto"/>
              <w:outlineLvl w:val="9"/>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lang w:val="en-US" w:eastAsia="zh-CN"/>
              </w:rPr>
              <w:t>2.</w:t>
            </w:r>
            <w:r>
              <w:rPr>
                <w:rFonts w:hint="eastAsia" w:ascii="仿宋" w:hAnsi="仿宋" w:eastAsia="仿宋" w:cs="仿宋"/>
                <w:b w:val="0"/>
                <w:bCs w:val="0"/>
                <w:color w:val="auto"/>
                <w:sz w:val="21"/>
                <w:szCs w:val="21"/>
                <w:highlight w:val="none"/>
              </w:rPr>
              <w:t>承认经司法局备案的人民调解委员会(以下简称:调委会)的调解结果，调委会调解的案件赔付在20万元以内，保险公司必需无条件理赔给医疗机构或患方，且理赔材料只需提供调委会的调解协议书。</w:t>
            </w:r>
          </w:p>
          <w:p w14:paraId="25CCDAA6">
            <w:pPr>
              <w:keepNext w:val="0"/>
              <w:keepLines w:val="0"/>
              <w:pageBreakBefore w:val="0"/>
              <w:widowControl/>
              <w:kinsoku/>
              <w:wordWrap/>
              <w:overflowPunct/>
              <w:topLinePunct w:val="0"/>
              <w:autoSpaceDE/>
              <w:autoSpaceDN/>
              <w:bidi w:val="0"/>
              <w:adjustRightInd/>
              <w:snapToGrid/>
              <w:spacing w:line="300" w:lineRule="auto"/>
              <w:ind w:left="0" w:leftChars="0" w:right="0" w:rightChars="0" w:firstLine="420" w:firstLineChars="200"/>
              <w:textAlignment w:val="auto"/>
              <w:outlineLvl w:val="9"/>
              <w:rPr>
                <w:rFonts w:hint="eastAsia" w:ascii="仿宋" w:hAnsi="仿宋" w:eastAsia="仿宋" w:cs="仿宋"/>
                <w:b w:val="0"/>
                <w:bCs w:val="0"/>
                <w:color w:val="auto"/>
                <w:sz w:val="21"/>
                <w:szCs w:val="21"/>
                <w:highlight w:val="none"/>
              </w:rPr>
            </w:pPr>
            <w:r>
              <w:rPr>
                <w:rFonts w:hint="eastAsia" w:ascii="仿宋" w:hAnsi="仿宋" w:eastAsia="仿宋" w:cs="仿宋"/>
                <w:b w:val="0"/>
                <w:bCs w:val="0"/>
                <w:color w:val="auto"/>
                <w:sz w:val="21"/>
                <w:szCs w:val="21"/>
                <w:highlight w:val="none"/>
                <w:lang w:val="en-US" w:eastAsia="zh-CN"/>
              </w:rPr>
              <w:t>3.</w:t>
            </w:r>
            <w:r>
              <w:rPr>
                <w:rFonts w:hint="eastAsia" w:ascii="仿宋" w:hAnsi="仿宋" w:eastAsia="仿宋" w:cs="仿宋"/>
                <w:b w:val="0"/>
                <w:bCs w:val="0"/>
                <w:color w:val="auto"/>
                <w:sz w:val="21"/>
                <w:szCs w:val="21"/>
                <w:highlight w:val="none"/>
              </w:rPr>
              <w:t>保险公司需派专职人员参与医院医疗纠纷的调解过程以及后续理赔材料的收集。</w:t>
            </w:r>
          </w:p>
          <w:p w14:paraId="68A94712">
            <w:pPr>
              <w:spacing w:line="300" w:lineRule="auto"/>
              <w:ind w:left="0" w:leftChars="0" w:right="0" w:rightChars="0" w:firstLine="420" w:firstLineChars="200"/>
              <w:outlineLvl w:val="9"/>
              <w:rPr>
                <w:rFonts w:hint="eastAsia" w:ascii="仿宋" w:hAnsi="仿宋" w:eastAsia="仿宋" w:cs="仿宋"/>
                <w:color w:val="auto"/>
                <w:kern w:val="2"/>
                <w:sz w:val="21"/>
                <w:szCs w:val="21"/>
                <w:highlight w:val="none"/>
                <w:lang w:val="en-US" w:eastAsia="zh-CN" w:bidi="ar-SA"/>
              </w:rPr>
            </w:pPr>
            <w:r>
              <w:rPr>
                <w:rFonts w:hint="eastAsia" w:ascii="仿宋" w:hAnsi="仿宋" w:eastAsia="仿宋" w:cs="仿宋"/>
                <w:b w:val="0"/>
                <w:bCs w:val="0"/>
                <w:color w:val="auto"/>
                <w:sz w:val="21"/>
                <w:szCs w:val="21"/>
                <w:highlight w:val="none"/>
                <w:lang w:val="en-US" w:eastAsia="zh-CN"/>
              </w:rPr>
              <w:t>4.</w:t>
            </w:r>
            <w:r>
              <w:rPr>
                <w:rFonts w:hint="eastAsia" w:ascii="仿宋" w:hAnsi="仿宋" w:eastAsia="仿宋" w:cs="仿宋"/>
                <w:b w:val="0"/>
                <w:bCs w:val="0"/>
                <w:color w:val="auto"/>
                <w:sz w:val="21"/>
                <w:szCs w:val="21"/>
                <w:highlight w:val="none"/>
              </w:rPr>
              <w:t>保险公司必须无条件承认法院的判决结果，并理赔给医疗机构或患方。理赔材料只需院方提供法院的判决书。</w:t>
            </w:r>
          </w:p>
        </w:tc>
      </w:tr>
    </w:tbl>
    <w:p w14:paraId="3053705A">
      <w:bookmarkStart w:id="0" w:name="_GoBack"/>
      <w:bookmarkEnd w:id="0"/>
    </w:p>
    <w:p w14:paraId="0A647511"/>
    <w:p w14:paraId="2474D1D8"/>
    <w:p w14:paraId="6F326EE4">
      <w:pPr>
        <w:rPr>
          <w:rFonts w:hint="default"/>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49F993"/>
    <w:multiLevelType w:val="singleLevel"/>
    <w:tmpl w:val="6049F993"/>
    <w:lvl w:ilvl="0" w:tentative="0">
      <w:start w:val="1"/>
      <w:numFmt w:val="chineseCounting"/>
      <w:suff w:val="nothing"/>
      <w:lvlText w:val="%1、"/>
      <w:lvlJc w:val="left"/>
    </w:lvl>
  </w:abstractNum>
  <w:abstractNum w:abstractNumId="1">
    <w:nsid w:val="7B4AAB87"/>
    <w:multiLevelType w:val="singleLevel"/>
    <w:tmpl w:val="7B4AAB87"/>
    <w:lvl w:ilvl="0" w:tentative="0">
      <w:start w:val="7"/>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4C4A5B"/>
    <w:rsid w:val="00C56C1E"/>
    <w:rsid w:val="022011C4"/>
    <w:rsid w:val="0D1150F2"/>
    <w:rsid w:val="0E145DF7"/>
    <w:rsid w:val="12303BA0"/>
    <w:rsid w:val="13994705"/>
    <w:rsid w:val="224D22D1"/>
    <w:rsid w:val="244C4A5B"/>
    <w:rsid w:val="2A8269AC"/>
    <w:rsid w:val="346702DF"/>
    <w:rsid w:val="3B7A5A8D"/>
    <w:rsid w:val="3B820DE6"/>
    <w:rsid w:val="42962F4C"/>
    <w:rsid w:val="52CA5AE0"/>
    <w:rsid w:val="6D2F00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iPriority w:val="0"/>
  </w:style>
  <w:style w:type="table" w:default="1" w:styleId="8">
    <w:name w:val="Normal Table"/>
    <w:semiHidden/>
    <w:uiPriority w:val="0"/>
    <w:tblPr>
      <w:tblCellMar>
        <w:top w:w="0" w:type="dxa"/>
        <w:left w:w="108" w:type="dxa"/>
        <w:bottom w:w="0" w:type="dxa"/>
        <w:right w:w="108" w:type="dxa"/>
      </w:tblCellMar>
    </w:tbl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Indent 3"/>
    <w:basedOn w:val="1"/>
    <w:qFormat/>
    <w:uiPriority w:val="0"/>
    <w:pPr>
      <w:spacing w:after="120"/>
      <w:ind w:left="420" w:leftChars="200"/>
    </w:pPr>
    <w:rPr>
      <w:sz w:val="16"/>
      <w:szCs w:val="16"/>
    </w:rPr>
  </w:style>
  <w:style w:type="paragraph" w:styleId="7">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customStyle="1" w:styleId="10">
    <w:name w:val="图"/>
    <w:basedOn w:val="1"/>
    <w:qFormat/>
    <w:uiPriority w:val="0"/>
    <w:pPr>
      <w:keepNext/>
      <w:adjustRightInd w:val="0"/>
      <w:spacing w:before="60" w:after="60" w:line="300" w:lineRule="auto"/>
      <w:jc w:val="center"/>
      <w:textAlignment w:val="center"/>
    </w:pPr>
    <w:rPr>
      <w:rFonts w:ascii="Times New Roman" w:hAnsi="Times New Roman"/>
      <w:snapToGrid w:val="0"/>
      <w:spacing w:val="20"/>
      <w:kern w:val="0"/>
      <w:sz w:val="24"/>
      <w:szCs w:val="20"/>
    </w:rPr>
  </w:style>
  <w:style w:type="paragraph" w:customStyle="1" w:styleId="11">
    <w:name w:val="_Style 3"/>
    <w:basedOn w:val="1"/>
    <w:next w:val="6"/>
    <w:qFormat/>
    <w:uiPriority w:val="0"/>
    <w:pPr>
      <w:ind w:firstLine="420" w:firstLineChars="200"/>
    </w:pPr>
    <w:rPr>
      <w:sz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3355</Words>
  <Characters>3486</Characters>
  <Lines>0</Lines>
  <Paragraphs>0</Paragraphs>
  <TotalTime>17</TotalTime>
  <ScaleCrop>false</ScaleCrop>
  <LinksUpToDate>false</LinksUpToDate>
  <CharactersWithSpaces>3521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2025-03-06T08:57:00Z</dcterms:created>
  <dc:creator>施敏华</dc:creator>
  <cp:lastModifiedBy>施敏华</cp:lastModifiedBy>
  <cp:lastPrinted>2025-03-07T08:55:45Z</cp:lastPrinted>
  <dcterms:modified xsi:type="dcterms:W3CDTF">2025-03-07T09:12:30Z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6BA12755DBA749B0867D1991FB12D3C2_13</vt:lpwstr>
  </property>
  <property fmtid="{D5CDD505-2E9C-101B-9397-08002B2CF9AE}" pid="4" name="KSOTemplateDocerSaveRecord">
    <vt:lpwstr>eyJoZGlkIjoiMTBjNTlmYTVhMDdhMWFlNDQ2OTcwNjk0YWU0ZWEzNTMiLCJ1c2VySWQiOiIyNDYyNDY1ODIifQ==</vt:lpwstr>
  </property>
</Properties>
</file>